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Pr>
        <w:rPr>
          <w:noProof/>
          <w:lang w:eastAsia="en-GB"/>
        </w:rPr>
      </w:pPr>
    </w:p>
    <w:p>
      <w:pPr>
        <w:rPr>
          <w:noProof/>
          <w:lang w:eastAsia="en-GB"/>
        </w:rPr>
      </w:pPr>
    </w:p>
    <w:p>
      <w:pPr>
        <w:rPr>
          <w:noProof/>
          <w:lang w:eastAsia="en-GB"/>
        </w:rPr>
      </w:pPr>
    </w:p>
    <w:p>
      <w:r>
        <w:rPr>
          <w:noProof/>
          <w:lang w:eastAsia="en-GB"/>
        </w:rPr>
        <w:drawing>
          <wp:anchor distT="0" distB="0" distL="114300" distR="114300" simplePos="0" relativeHeight="251659264" behindDoc="1" locked="0" layoutInCell="1" allowOverlap="1">
            <wp:simplePos x="0" y="0"/>
            <wp:positionH relativeFrom="column">
              <wp:posOffset>619125</wp:posOffset>
            </wp:positionH>
            <wp:positionV relativeFrom="paragraph">
              <wp:posOffset>182880</wp:posOffset>
            </wp:positionV>
            <wp:extent cx="4309110" cy="1952625"/>
            <wp:effectExtent l="0" t="0" r="0" b="9525"/>
            <wp:wrapTight wrapText="bothSides">
              <wp:wrapPolygon edited="0">
                <wp:start x="0" y="0"/>
                <wp:lineTo x="0" y="21495"/>
                <wp:lineTo x="21485" y="21495"/>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geley Header Graphic.png"/>
                    <pic:cNvPicPr/>
                  </pic:nvPicPr>
                  <pic:blipFill rotWithShape="1">
                    <a:blip r:embed="rId8" cstate="print">
                      <a:extLst>
                        <a:ext uri="{28A0092B-C50C-407E-A947-70E740481C1C}">
                          <a14:useLocalDpi xmlns:a14="http://schemas.microsoft.com/office/drawing/2010/main" val="0"/>
                        </a:ext>
                      </a:extLst>
                    </a:blip>
                    <a:srcRect l="57985"/>
                    <a:stretch/>
                  </pic:blipFill>
                  <pic:spPr bwMode="auto">
                    <a:xfrm>
                      <a:off x="0" y="0"/>
                      <a:ext cx="4309110" cy="1952625"/>
                    </a:xfrm>
                    <a:prstGeom prst="rect">
                      <a:avLst/>
                    </a:prstGeom>
                    <a:ln>
                      <a:noFill/>
                    </a:ln>
                    <a:extLst>
                      <a:ext uri="{53640926-AAD7-44D8-BBD7-CCE9431645EC}">
                        <a14:shadowObscured xmlns:a14="http://schemas.microsoft.com/office/drawing/2010/main"/>
                      </a:ext>
                    </a:extLst>
                  </pic:spPr>
                </pic:pic>
              </a:graphicData>
            </a:graphic>
          </wp:anchor>
        </w:drawing>
      </w:r>
    </w:p>
    <w:p/>
    <w:p/>
    <w:p/>
    <w:p/>
    <w:p/>
    <w:p/>
    <w:p/>
    <w:p/>
    <w:p/>
    <w:p/>
    <w:p>
      <w:pPr>
        <w:rPr>
          <w:rFonts w:cs="Aharoni"/>
          <w:b/>
          <w:sz w:val="44"/>
          <w:szCs w:val="44"/>
        </w:rPr>
      </w:pPr>
      <w:r>
        <w:rPr>
          <w:rFonts w:cs="Aharoni"/>
          <w:b/>
          <w:sz w:val="44"/>
          <w:szCs w:val="44"/>
        </w:rPr>
        <w:t xml:space="preserve">         PROGRESS AND ATTAINMENT 2021/22</w:t>
      </w:r>
    </w:p>
    <w:p>
      <w:pPr>
        <w:rPr>
          <w:rFonts w:cs="Aharoni"/>
          <w:b/>
          <w:sz w:val="44"/>
          <w:szCs w:val="44"/>
        </w:rPr>
      </w:pPr>
    </w:p>
    <w:p>
      <w:pPr>
        <w:rPr>
          <w:rFonts w:cs="Aharoni"/>
          <w:b/>
          <w:sz w:val="44"/>
          <w:szCs w:val="44"/>
        </w:rPr>
      </w:pPr>
    </w:p>
    <w:p>
      <w:pPr>
        <w:rPr>
          <w:rFonts w:cs="Aharoni"/>
          <w:b/>
          <w:sz w:val="44"/>
          <w:szCs w:val="44"/>
        </w:rPr>
      </w:pPr>
    </w:p>
    <w:p>
      <w:pPr>
        <w:rPr>
          <w:rFonts w:cs="Aharoni"/>
          <w:b/>
          <w:color w:val="808080" w:themeColor="background1" w:themeShade="80"/>
          <w:sz w:val="24"/>
          <w:szCs w:val="24"/>
        </w:rPr>
      </w:pPr>
      <w:r>
        <w:rPr>
          <w:rFonts w:cs="Aharoni"/>
          <w:b/>
          <w:color w:val="808080" w:themeColor="background1" w:themeShade="80"/>
          <w:sz w:val="24"/>
          <w:szCs w:val="24"/>
        </w:rPr>
        <w:t>Author: Patrick Boyle                                                               September 2022</w:t>
      </w:r>
    </w:p>
    <w:p>
      <w:pPr>
        <w:rPr>
          <w:rFonts w:cs="Aharoni"/>
          <w:b/>
          <w:sz w:val="44"/>
          <w:szCs w:val="44"/>
        </w:rPr>
      </w:pPr>
    </w:p>
    <w:p>
      <w:pPr>
        <w:rPr>
          <w:rFonts w:cs="Aharoni"/>
          <w:b/>
          <w:sz w:val="44"/>
          <w:szCs w:val="44"/>
        </w:rPr>
      </w:pPr>
    </w:p>
    <w:p>
      <w:pPr>
        <w:rPr>
          <w:b/>
          <w:sz w:val="32"/>
          <w:szCs w:val="32"/>
        </w:rPr>
      </w:pPr>
      <w:r>
        <w:rPr>
          <w:b/>
          <w:sz w:val="32"/>
          <w:szCs w:val="32"/>
        </w:rPr>
        <w:lastRenderedPageBreak/>
        <w:t>Contents</w:t>
      </w:r>
    </w:p>
    <w:p>
      <w:pPr>
        <w:pStyle w:val="Heading2"/>
      </w:pPr>
    </w:p>
    <w:p>
      <w:pPr>
        <w:pStyle w:val="TOC2"/>
        <w:tabs>
          <w:tab w:val="right" w:leader="dot" w:pos="9016"/>
        </w:tabs>
        <w:rPr>
          <w:rFonts w:eastAsiaTheme="minorEastAsia"/>
          <w:noProof/>
          <w:sz w:val="24"/>
          <w:szCs w:val="24"/>
          <w:lang w:eastAsia="en-GB"/>
        </w:rPr>
      </w:pPr>
      <w:r>
        <w:fldChar w:fldCharType="begin"/>
      </w:r>
      <w:r>
        <w:instrText xml:space="preserve"> TOC \o "1-3" \h \z \u </w:instrText>
      </w:r>
      <w:r>
        <w:fldChar w:fldCharType="separate"/>
      </w:r>
      <w:hyperlink w:anchor="_Toc115268620" w:history="1">
        <w:r>
          <w:rPr>
            <w:rStyle w:val="Hyperlink"/>
            <w:noProof/>
            <w:sz w:val="24"/>
            <w:szCs w:val="24"/>
          </w:rPr>
          <w:t>Whole School Headline Data</w:t>
        </w:r>
        <w:r>
          <w:rPr>
            <w:noProof/>
            <w:webHidden/>
            <w:sz w:val="24"/>
            <w:szCs w:val="24"/>
          </w:rPr>
          <w:tab/>
        </w:r>
        <w:r>
          <w:rPr>
            <w:noProof/>
            <w:webHidden/>
            <w:sz w:val="24"/>
            <w:szCs w:val="24"/>
          </w:rPr>
          <w:fldChar w:fldCharType="begin"/>
        </w:r>
        <w:r>
          <w:rPr>
            <w:noProof/>
            <w:webHidden/>
            <w:sz w:val="24"/>
            <w:szCs w:val="24"/>
          </w:rPr>
          <w:instrText xml:space="preserve"> PAGEREF _Toc115268620 \h </w:instrText>
        </w:r>
        <w:r>
          <w:rPr>
            <w:noProof/>
            <w:webHidden/>
            <w:sz w:val="24"/>
            <w:szCs w:val="24"/>
          </w:rPr>
        </w:r>
        <w:r>
          <w:rPr>
            <w:noProof/>
            <w:webHidden/>
            <w:sz w:val="24"/>
            <w:szCs w:val="24"/>
          </w:rPr>
          <w:fldChar w:fldCharType="separate"/>
        </w:r>
        <w:r>
          <w:rPr>
            <w:noProof/>
            <w:webHidden/>
            <w:sz w:val="24"/>
            <w:szCs w:val="24"/>
          </w:rPr>
          <w:t>3</w:t>
        </w:r>
        <w:r>
          <w:rPr>
            <w:noProof/>
            <w:webHidden/>
            <w:sz w:val="24"/>
            <w:szCs w:val="24"/>
          </w:rPr>
          <w:fldChar w:fldCharType="end"/>
        </w:r>
      </w:hyperlink>
    </w:p>
    <w:p>
      <w:pPr>
        <w:pStyle w:val="TOC3"/>
        <w:tabs>
          <w:tab w:val="right" w:leader="dot" w:pos="9016"/>
        </w:tabs>
        <w:rPr>
          <w:rFonts w:eastAsiaTheme="minorEastAsia"/>
          <w:noProof/>
          <w:sz w:val="24"/>
          <w:szCs w:val="24"/>
          <w:lang w:eastAsia="en-GB"/>
        </w:rPr>
      </w:pPr>
      <w:hyperlink w:anchor="_Toc115268621" w:history="1">
        <w:r>
          <w:rPr>
            <w:rStyle w:val="Hyperlink"/>
            <w:noProof/>
            <w:sz w:val="24"/>
            <w:szCs w:val="24"/>
          </w:rPr>
          <w:t>Headline Data by Key stage – English, Maths and Science</w:t>
        </w:r>
        <w:r>
          <w:rPr>
            <w:noProof/>
            <w:webHidden/>
            <w:sz w:val="24"/>
            <w:szCs w:val="24"/>
          </w:rPr>
          <w:tab/>
        </w:r>
        <w:r>
          <w:rPr>
            <w:noProof/>
            <w:webHidden/>
            <w:sz w:val="24"/>
            <w:szCs w:val="24"/>
          </w:rPr>
          <w:fldChar w:fldCharType="begin"/>
        </w:r>
        <w:r>
          <w:rPr>
            <w:noProof/>
            <w:webHidden/>
            <w:sz w:val="24"/>
            <w:szCs w:val="24"/>
          </w:rPr>
          <w:instrText xml:space="preserve"> PAGEREF _Toc115268621 \h </w:instrText>
        </w:r>
        <w:r>
          <w:rPr>
            <w:noProof/>
            <w:webHidden/>
            <w:sz w:val="24"/>
            <w:szCs w:val="24"/>
          </w:rPr>
        </w:r>
        <w:r>
          <w:rPr>
            <w:noProof/>
            <w:webHidden/>
            <w:sz w:val="24"/>
            <w:szCs w:val="24"/>
          </w:rPr>
          <w:fldChar w:fldCharType="separate"/>
        </w:r>
        <w:r>
          <w:rPr>
            <w:noProof/>
            <w:webHidden/>
            <w:sz w:val="24"/>
            <w:szCs w:val="24"/>
          </w:rPr>
          <w:t>4</w:t>
        </w:r>
        <w:r>
          <w:rPr>
            <w:noProof/>
            <w:webHidden/>
            <w:sz w:val="24"/>
            <w:szCs w:val="24"/>
          </w:rPr>
          <w:fldChar w:fldCharType="end"/>
        </w:r>
      </w:hyperlink>
    </w:p>
    <w:p>
      <w:pPr>
        <w:pStyle w:val="TOC3"/>
        <w:tabs>
          <w:tab w:val="right" w:leader="dot" w:pos="9016"/>
        </w:tabs>
        <w:rPr>
          <w:rFonts w:eastAsiaTheme="minorEastAsia"/>
          <w:noProof/>
          <w:sz w:val="24"/>
          <w:szCs w:val="24"/>
          <w:lang w:eastAsia="en-GB"/>
        </w:rPr>
      </w:pPr>
      <w:hyperlink w:anchor="_Toc115268622" w:history="1">
        <w:r>
          <w:rPr>
            <w:rStyle w:val="Hyperlink"/>
            <w:noProof/>
            <w:sz w:val="24"/>
            <w:szCs w:val="24"/>
          </w:rPr>
          <w:t>Headline Progress data – All Subjects across Key Stages</w:t>
        </w:r>
        <w:r>
          <w:rPr>
            <w:noProof/>
            <w:webHidden/>
            <w:sz w:val="24"/>
            <w:szCs w:val="24"/>
          </w:rPr>
          <w:tab/>
        </w:r>
        <w:r>
          <w:rPr>
            <w:noProof/>
            <w:webHidden/>
            <w:sz w:val="24"/>
            <w:szCs w:val="24"/>
          </w:rPr>
          <w:fldChar w:fldCharType="begin"/>
        </w:r>
        <w:r>
          <w:rPr>
            <w:noProof/>
            <w:webHidden/>
            <w:sz w:val="24"/>
            <w:szCs w:val="24"/>
          </w:rPr>
          <w:instrText xml:space="preserve"> PAGEREF _Toc115268622 \h </w:instrText>
        </w:r>
        <w:r>
          <w:rPr>
            <w:noProof/>
            <w:webHidden/>
            <w:sz w:val="24"/>
            <w:szCs w:val="24"/>
          </w:rPr>
        </w:r>
        <w:r>
          <w:rPr>
            <w:noProof/>
            <w:webHidden/>
            <w:sz w:val="24"/>
            <w:szCs w:val="24"/>
          </w:rPr>
          <w:fldChar w:fldCharType="separate"/>
        </w:r>
        <w:r>
          <w:rPr>
            <w:noProof/>
            <w:webHidden/>
            <w:sz w:val="24"/>
            <w:szCs w:val="24"/>
          </w:rPr>
          <w:t>5</w:t>
        </w:r>
        <w:r>
          <w:rPr>
            <w:noProof/>
            <w:webHidden/>
            <w:sz w:val="24"/>
            <w:szCs w:val="24"/>
          </w:rPr>
          <w:fldChar w:fldCharType="end"/>
        </w:r>
      </w:hyperlink>
    </w:p>
    <w:p>
      <w:pPr>
        <w:pStyle w:val="TOC2"/>
        <w:tabs>
          <w:tab w:val="right" w:leader="dot" w:pos="9016"/>
        </w:tabs>
        <w:rPr>
          <w:rFonts w:eastAsiaTheme="minorEastAsia"/>
          <w:noProof/>
          <w:sz w:val="24"/>
          <w:szCs w:val="24"/>
          <w:lang w:eastAsia="en-GB"/>
        </w:rPr>
      </w:pPr>
      <w:hyperlink w:anchor="_Toc115268623" w:history="1">
        <w:r>
          <w:rPr>
            <w:rStyle w:val="Hyperlink"/>
            <w:noProof/>
            <w:sz w:val="24"/>
            <w:szCs w:val="24"/>
          </w:rPr>
          <w:t>KS2 / Year 7 Overview</w:t>
        </w:r>
        <w:r>
          <w:rPr>
            <w:noProof/>
            <w:webHidden/>
            <w:sz w:val="24"/>
            <w:szCs w:val="24"/>
          </w:rPr>
          <w:tab/>
        </w:r>
        <w:r>
          <w:rPr>
            <w:noProof/>
            <w:webHidden/>
            <w:sz w:val="24"/>
            <w:szCs w:val="24"/>
          </w:rPr>
          <w:fldChar w:fldCharType="begin"/>
        </w:r>
        <w:r>
          <w:rPr>
            <w:noProof/>
            <w:webHidden/>
            <w:sz w:val="24"/>
            <w:szCs w:val="24"/>
          </w:rPr>
          <w:instrText xml:space="preserve"> PAGEREF _Toc115268623 \h </w:instrText>
        </w:r>
        <w:r>
          <w:rPr>
            <w:noProof/>
            <w:webHidden/>
            <w:sz w:val="24"/>
            <w:szCs w:val="24"/>
          </w:rPr>
        </w:r>
        <w:r>
          <w:rPr>
            <w:noProof/>
            <w:webHidden/>
            <w:sz w:val="24"/>
            <w:szCs w:val="24"/>
          </w:rPr>
          <w:fldChar w:fldCharType="separate"/>
        </w:r>
        <w:r>
          <w:rPr>
            <w:noProof/>
            <w:webHidden/>
            <w:sz w:val="24"/>
            <w:szCs w:val="24"/>
          </w:rPr>
          <w:t>6</w:t>
        </w:r>
        <w:r>
          <w:rPr>
            <w:noProof/>
            <w:webHidden/>
            <w:sz w:val="24"/>
            <w:szCs w:val="24"/>
          </w:rPr>
          <w:fldChar w:fldCharType="end"/>
        </w:r>
      </w:hyperlink>
    </w:p>
    <w:p>
      <w:pPr>
        <w:pStyle w:val="TOC2"/>
        <w:tabs>
          <w:tab w:val="right" w:leader="dot" w:pos="9016"/>
        </w:tabs>
        <w:rPr>
          <w:rFonts w:eastAsiaTheme="minorEastAsia"/>
          <w:noProof/>
          <w:sz w:val="24"/>
          <w:szCs w:val="24"/>
          <w:lang w:eastAsia="en-GB"/>
        </w:rPr>
      </w:pPr>
      <w:hyperlink w:anchor="_Toc115268624" w:history="1">
        <w:r>
          <w:rPr>
            <w:rStyle w:val="Hyperlink"/>
            <w:noProof/>
            <w:sz w:val="24"/>
            <w:szCs w:val="24"/>
          </w:rPr>
          <w:t>KS2 SATS</w:t>
        </w:r>
        <w:r>
          <w:rPr>
            <w:noProof/>
            <w:webHidden/>
            <w:sz w:val="24"/>
            <w:szCs w:val="24"/>
          </w:rPr>
          <w:tab/>
        </w:r>
        <w:r>
          <w:rPr>
            <w:noProof/>
            <w:webHidden/>
            <w:sz w:val="24"/>
            <w:szCs w:val="24"/>
          </w:rPr>
          <w:fldChar w:fldCharType="begin"/>
        </w:r>
        <w:r>
          <w:rPr>
            <w:noProof/>
            <w:webHidden/>
            <w:sz w:val="24"/>
            <w:szCs w:val="24"/>
          </w:rPr>
          <w:instrText xml:space="preserve"> PAGEREF _Toc115268624 \h </w:instrText>
        </w:r>
        <w:r>
          <w:rPr>
            <w:noProof/>
            <w:webHidden/>
            <w:sz w:val="24"/>
            <w:szCs w:val="24"/>
          </w:rPr>
        </w:r>
        <w:r>
          <w:rPr>
            <w:noProof/>
            <w:webHidden/>
            <w:sz w:val="24"/>
            <w:szCs w:val="24"/>
          </w:rPr>
          <w:fldChar w:fldCharType="separate"/>
        </w:r>
        <w:r>
          <w:rPr>
            <w:noProof/>
            <w:webHidden/>
            <w:sz w:val="24"/>
            <w:szCs w:val="24"/>
          </w:rPr>
          <w:t>6</w:t>
        </w:r>
        <w:r>
          <w:rPr>
            <w:noProof/>
            <w:webHidden/>
            <w:sz w:val="24"/>
            <w:szCs w:val="24"/>
          </w:rPr>
          <w:fldChar w:fldCharType="end"/>
        </w:r>
      </w:hyperlink>
    </w:p>
    <w:p>
      <w:pPr>
        <w:pStyle w:val="TOC2"/>
        <w:tabs>
          <w:tab w:val="right" w:leader="dot" w:pos="9016"/>
        </w:tabs>
        <w:rPr>
          <w:rFonts w:eastAsiaTheme="minorEastAsia"/>
          <w:noProof/>
          <w:sz w:val="24"/>
          <w:szCs w:val="24"/>
          <w:lang w:eastAsia="en-GB"/>
        </w:rPr>
      </w:pPr>
      <w:hyperlink w:anchor="_Toc115268625" w:history="1">
        <w:r>
          <w:rPr>
            <w:rStyle w:val="Hyperlink"/>
            <w:noProof/>
            <w:sz w:val="24"/>
            <w:szCs w:val="24"/>
          </w:rPr>
          <w:t>Commentary</w:t>
        </w:r>
        <w:r>
          <w:rPr>
            <w:noProof/>
            <w:webHidden/>
            <w:sz w:val="24"/>
            <w:szCs w:val="24"/>
          </w:rPr>
          <w:tab/>
        </w:r>
        <w:r>
          <w:rPr>
            <w:noProof/>
            <w:webHidden/>
            <w:sz w:val="24"/>
            <w:szCs w:val="24"/>
          </w:rPr>
          <w:fldChar w:fldCharType="begin"/>
        </w:r>
        <w:r>
          <w:rPr>
            <w:noProof/>
            <w:webHidden/>
            <w:sz w:val="24"/>
            <w:szCs w:val="24"/>
          </w:rPr>
          <w:instrText xml:space="preserve"> PAGEREF _Toc115268625 \h </w:instrText>
        </w:r>
        <w:r>
          <w:rPr>
            <w:noProof/>
            <w:webHidden/>
            <w:sz w:val="24"/>
            <w:szCs w:val="24"/>
          </w:rPr>
        </w:r>
        <w:r>
          <w:rPr>
            <w:noProof/>
            <w:webHidden/>
            <w:sz w:val="24"/>
            <w:szCs w:val="24"/>
          </w:rPr>
          <w:fldChar w:fldCharType="separate"/>
        </w:r>
        <w:r>
          <w:rPr>
            <w:noProof/>
            <w:webHidden/>
            <w:sz w:val="24"/>
            <w:szCs w:val="24"/>
          </w:rPr>
          <w:t>8</w:t>
        </w:r>
        <w:r>
          <w:rPr>
            <w:noProof/>
            <w:webHidden/>
            <w:sz w:val="24"/>
            <w:szCs w:val="24"/>
          </w:rPr>
          <w:fldChar w:fldCharType="end"/>
        </w:r>
      </w:hyperlink>
    </w:p>
    <w:p>
      <w:pPr>
        <w:pStyle w:val="TOC3"/>
        <w:tabs>
          <w:tab w:val="right" w:leader="dot" w:pos="9016"/>
        </w:tabs>
        <w:rPr>
          <w:rFonts w:eastAsiaTheme="minorEastAsia"/>
          <w:noProof/>
          <w:sz w:val="24"/>
          <w:szCs w:val="24"/>
          <w:lang w:eastAsia="en-GB"/>
        </w:rPr>
      </w:pPr>
      <w:hyperlink w:anchor="_Toc115268626" w:history="1">
        <w:r>
          <w:rPr>
            <w:rStyle w:val="Hyperlink"/>
            <w:noProof/>
            <w:sz w:val="24"/>
            <w:szCs w:val="24"/>
          </w:rPr>
          <w:t>Key Stage 3</w:t>
        </w:r>
        <w:r>
          <w:rPr>
            <w:noProof/>
            <w:webHidden/>
            <w:sz w:val="24"/>
            <w:szCs w:val="24"/>
          </w:rPr>
          <w:tab/>
        </w:r>
        <w:r>
          <w:rPr>
            <w:noProof/>
            <w:webHidden/>
            <w:sz w:val="24"/>
            <w:szCs w:val="24"/>
          </w:rPr>
          <w:fldChar w:fldCharType="begin"/>
        </w:r>
        <w:r>
          <w:rPr>
            <w:noProof/>
            <w:webHidden/>
            <w:sz w:val="24"/>
            <w:szCs w:val="24"/>
          </w:rPr>
          <w:instrText xml:space="preserve"> PAGEREF _Toc115268626 \h </w:instrText>
        </w:r>
        <w:r>
          <w:rPr>
            <w:noProof/>
            <w:webHidden/>
            <w:sz w:val="24"/>
            <w:szCs w:val="24"/>
          </w:rPr>
        </w:r>
        <w:r>
          <w:rPr>
            <w:noProof/>
            <w:webHidden/>
            <w:sz w:val="24"/>
            <w:szCs w:val="24"/>
          </w:rPr>
          <w:fldChar w:fldCharType="separate"/>
        </w:r>
        <w:r>
          <w:rPr>
            <w:noProof/>
            <w:webHidden/>
            <w:sz w:val="24"/>
            <w:szCs w:val="24"/>
          </w:rPr>
          <w:t>8</w:t>
        </w:r>
        <w:r>
          <w:rPr>
            <w:noProof/>
            <w:webHidden/>
            <w:sz w:val="24"/>
            <w:szCs w:val="24"/>
          </w:rPr>
          <w:fldChar w:fldCharType="end"/>
        </w:r>
      </w:hyperlink>
    </w:p>
    <w:p>
      <w:pPr>
        <w:pStyle w:val="TOC3"/>
        <w:tabs>
          <w:tab w:val="right" w:leader="dot" w:pos="9016"/>
        </w:tabs>
        <w:rPr>
          <w:rFonts w:eastAsiaTheme="minorEastAsia"/>
          <w:noProof/>
          <w:sz w:val="24"/>
          <w:szCs w:val="24"/>
          <w:lang w:eastAsia="en-GB"/>
        </w:rPr>
      </w:pPr>
      <w:hyperlink w:anchor="_Toc115268627" w:history="1">
        <w:r>
          <w:rPr>
            <w:rStyle w:val="Hyperlink"/>
            <w:noProof/>
            <w:sz w:val="24"/>
            <w:szCs w:val="24"/>
          </w:rPr>
          <w:t>Key Stage 4</w:t>
        </w:r>
        <w:r>
          <w:rPr>
            <w:noProof/>
            <w:webHidden/>
            <w:sz w:val="24"/>
            <w:szCs w:val="24"/>
          </w:rPr>
          <w:tab/>
        </w:r>
        <w:r>
          <w:rPr>
            <w:noProof/>
            <w:webHidden/>
            <w:sz w:val="24"/>
            <w:szCs w:val="24"/>
          </w:rPr>
          <w:fldChar w:fldCharType="begin"/>
        </w:r>
        <w:r>
          <w:rPr>
            <w:noProof/>
            <w:webHidden/>
            <w:sz w:val="24"/>
            <w:szCs w:val="24"/>
          </w:rPr>
          <w:instrText xml:space="preserve"> PAGEREF _Toc115268627 \h </w:instrText>
        </w:r>
        <w:r>
          <w:rPr>
            <w:noProof/>
            <w:webHidden/>
            <w:sz w:val="24"/>
            <w:szCs w:val="24"/>
          </w:rPr>
        </w:r>
        <w:r>
          <w:rPr>
            <w:noProof/>
            <w:webHidden/>
            <w:sz w:val="24"/>
            <w:szCs w:val="24"/>
          </w:rPr>
          <w:fldChar w:fldCharType="separate"/>
        </w:r>
        <w:r>
          <w:rPr>
            <w:noProof/>
            <w:webHidden/>
            <w:sz w:val="24"/>
            <w:szCs w:val="24"/>
          </w:rPr>
          <w:t>8</w:t>
        </w:r>
        <w:r>
          <w:rPr>
            <w:noProof/>
            <w:webHidden/>
            <w:sz w:val="24"/>
            <w:szCs w:val="24"/>
          </w:rPr>
          <w:fldChar w:fldCharType="end"/>
        </w:r>
      </w:hyperlink>
    </w:p>
    <w:p>
      <w:pPr>
        <w:pStyle w:val="TOC2"/>
        <w:tabs>
          <w:tab w:val="right" w:leader="dot" w:pos="9016"/>
        </w:tabs>
        <w:rPr>
          <w:rFonts w:eastAsiaTheme="minorEastAsia"/>
          <w:noProof/>
          <w:sz w:val="24"/>
          <w:szCs w:val="24"/>
          <w:lang w:eastAsia="en-GB"/>
        </w:rPr>
      </w:pPr>
      <w:hyperlink w:anchor="_Toc115268628" w:history="1">
        <w:r>
          <w:rPr>
            <w:rStyle w:val="Hyperlink"/>
            <w:noProof/>
            <w:sz w:val="24"/>
            <w:szCs w:val="24"/>
          </w:rPr>
          <w:t>2022 Cohort Key Stage 4 Results</w:t>
        </w:r>
        <w:r>
          <w:rPr>
            <w:noProof/>
            <w:webHidden/>
            <w:sz w:val="24"/>
            <w:szCs w:val="24"/>
          </w:rPr>
          <w:tab/>
        </w:r>
        <w:r>
          <w:rPr>
            <w:noProof/>
            <w:webHidden/>
            <w:sz w:val="24"/>
            <w:szCs w:val="24"/>
          </w:rPr>
          <w:fldChar w:fldCharType="begin"/>
        </w:r>
        <w:r>
          <w:rPr>
            <w:noProof/>
            <w:webHidden/>
            <w:sz w:val="24"/>
            <w:szCs w:val="24"/>
          </w:rPr>
          <w:instrText xml:space="preserve"> PAGEREF _Toc115268628 \h </w:instrText>
        </w:r>
        <w:r>
          <w:rPr>
            <w:noProof/>
            <w:webHidden/>
            <w:sz w:val="24"/>
            <w:szCs w:val="24"/>
          </w:rPr>
        </w:r>
        <w:r>
          <w:rPr>
            <w:noProof/>
            <w:webHidden/>
            <w:sz w:val="24"/>
            <w:szCs w:val="24"/>
          </w:rPr>
          <w:fldChar w:fldCharType="separate"/>
        </w:r>
        <w:r>
          <w:rPr>
            <w:noProof/>
            <w:webHidden/>
            <w:sz w:val="24"/>
            <w:szCs w:val="24"/>
          </w:rPr>
          <w:t>10</w:t>
        </w:r>
        <w:r>
          <w:rPr>
            <w:noProof/>
            <w:webHidden/>
            <w:sz w:val="24"/>
            <w:szCs w:val="24"/>
          </w:rPr>
          <w:fldChar w:fldCharType="end"/>
        </w:r>
      </w:hyperlink>
    </w:p>
    <w:p>
      <w:pPr>
        <w:pStyle w:val="TOC3"/>
        <w:tabs>
          <w:tab w:val="right" w:leader="dot" w:pos="9016"/>
        </w:tabs>
        <w:rPr>
          <w:rFonts w:eastAsiaTheme="minorEastAsia"/>
          <w:noProof/>
          <w:sz w:val="24"/>
          <w:szCs w:val="24"/>
          <w:lang w:eastAsia="en-GB"/>
        </w:rPr>
      </w:pPr>
      <w:hyperlink w:anchor="_Toc115268629" w:history="1">
        <w:r>
          <w:rPr>
            <w:rStyle w:val="Hyperlink"/>
            <w:noProof/>
            <w:sz w:val="24"/>
            <w:szCs w:val="24"/>
          </w:rPr>
          <w:t>Overview</w:t>
        </w:r>
        <w:r>
          <w:rPr>
            <w:noProof/>
            <w:webHidden/>
            <w:sz w:val="24"/>
            <w:szCs w:val="24"/>
          </w:rPr>
          <w:tab/>
        </w:r>
        <w:r>
          <w:rPr>
            <w:noProof/>
            <w:webHidden/>
            <w:sz w:val="24"/>
            <w:szCs w:val="24"/>
          </w:rPr>
          <w:fldChar w:fldCharType="begin"/>
        </w:r>
        <w:r>
          <w:rPr>
            <w:noProof/>
            <w:webHidden/>
            <w:sz w:val="24"/>
            <w:szCs w:val="24"/>
          </w:rPr>
          <w:instrText xml:space="preserve"> PAGEREF _Toc115268629 \h </w:instrText>
        </w:r>
        <w:r>
          <w:rPr>
            <w:noProof/>
            <w:webHidden/>
            <w:sz w:val="24"/>
            <w:szCs w:val="24"/>
          </w:rPr>
        </w:r>
        <w:r>
          <w:rPr>
            <w:noProof/>
            <w:webHidden/>
            <w:sz w:val="24"/>
            <w:szCs w:val="24"/>
          </w:rPr>
          <w:fldChar w:fldCharType="separate"/>
        </w:r>
        <w:r>
          <w:rPr>
            <w:noProof/>
            <w:webHidden/>
            <w:sz w:val="24"/>
            <w:szCs w:val="24"/>
          </w:rPr>
          <w:t>10</w:t>
        </w:r>
        <w:r>
          <w:rPr>
            <w:noProof/>
            <w:webHidden/>
            <w:sz w:val="24"/>
            <w:szCs w:val="24"/>
          </w:rPr>
          <w:fldChar w:fldCharType="end"/>
        </w:r>
      </w:hyperlink>
    </w:p>
    <w:p>
      <w:pPr>
        <w:pStyle w:val="TOC2"/>
        <w:tabs>
          <w:tab w:val="right" w:leader="dot" w:pos="9016"/>
        </w:tabs>
        <w:rPr>
          <w:rFonts w:eastAsiaTheme="minorEastAsia"/>
          <w:noProof/>
          <w:sz w:val="24"/>
          <w:szCs w:val="24"/>
          <w:lang w:eastAsia="en-GB"/>
        </w:rPr>
      </w:pPr>
      <w:hyperlink w:anchor="_Toc115268630" w:history="1">
        <w:r>
          <w:rPr>
            <w:rStyle w:val="Hyperlink"/>
            <w:noProof/>
            <w:sz w:val="24"/>
            <w:szCs w:val="24"/>
          </w:rPr>
          <w:t>Attainment 8 Scores</w:t>
        </w:r>
        <w:r>
          <w:rPr>
            <w:noProof/>
            <w:webHidden/>
            <w:sz w:val="24"/>
            <w:szCs w:val="24"/>
          </w:rPr>
          <w:tab/>
        </w:r>
        <w:r>
          <w:rPr>
            <w:noProof/>
            <w:webHidden/>
            <w:sz w:val="24"/>
            <w:szCs w:val="24"/>
          </w:rPr>
          <w:fldChar w:fldCharType="begin"/>
        </w:r>
        <w:r>
          <w:rPr>
            <w:noProof/>
            <w:webHidden/>
            <w:sz w:val="24"/>
            <w:szCs w:val="24"/>
          </w:rPr>
          <w:instrText xml:space="preserve"> PAGEREF _Toc115268630 \h </w:instrText>
        </w:r>
        <w:r>
          <w:rPr>
            <w:noProof/>
            <w:webHidden/>
            <w:sz w:val="24"/>
            <w:szCs w:val="24"/>
          </w:rPr>
        </w:r>
        <w:r>
          <w:rPr>
            <w:noProof/>
            <w:webHidden/>
            <w:sz w:val="24"/>
            <w:szCs w:val="24"/>
          </w:rPr>
          <w:fldChar w:fldCharType="separate"/>
        </w:r>
        <w:r>
          <w:rPr>
            <w:noProof/>
            <w:webHidden/>
            <w:sz w:val="24"/>
            <w:szCs w:val="24"/>
          </w:rPr>
          <w:t>10</w:t>
        </w:r>
        <w:r>
          <w:rPr>
            <w:noProof/>
            <w:webHidden/>
            <w:sz w:val="24"/>
            <w:szCs w:val="24"/>
          </w:rPr>
          <w:fldChar w:fldCharType="end"/>
        </w:r>
      </w:hyperlink>
    </w:p>
    <w:p>
      <w:pPr>
        <w:pStyle w:val="TOC2"/>
        <w:tabs>
          <w:tab w:val="right" w:leader="dot" w:pos="9016"/>
        </w:tabs>
        <w:rPr>
          <w:rFonts w:eastAsiaTheme="minorEastAsia"/>
          <w:noProof/>
          <w:sz w:val="24"/>
          <w:szCs w:val="24"/>
          <w:lang w:eastAsia="en-GB"/>
        </w:rPr>
      </w:pPr>
      <w:hyperlink w:anchor="_Toc115268631" w:history="1">
        <w:r>
          <w:rPr>
            <w:rStyle w:val="Hyperlink"/>
            <w:noProof/>
            <w:sz w:val="24"/>
            <w:szCs w:val="24"/>
          </w:rPr>
          <w:t>Breakdown of Results by Subjects and Pupils</w:t>
        </w:r>
        <w:r>
          <w:rPr>
            <w:noProof/>
            <w:webHidden/>
            <w:sz w:val="24"/>
            <w:szCs w:val="24"/>
          </w:rPr>
          <w:tab/>
        </w:r>
        <w:r>
          <w:rPr>
            <w:noProof/>
            <w:webHidden/>
            <w:sz w:val="24"/>
            <w:szCs w:val="24"/>
          </w:rPr>
          <w:fldChar w:fldCharType="begin"/>
        </w:r>
        <w:r>
          <w:rPr>
            <w:noProof/>
            <w:webHidden/>
            <w:sz w:val="24"/>
            <w:szCs w:val="24"/>
          </w:rPr>
          <w:instrText xml:space="preserve"> PAGEREF _Toc115268631 \h </w:instrText>
        </w:r>
        <w:r>
          <w:rPr>
            <w:noProof/>
            <w:webHidden/>
            <w:sz w:val="24"/>
            <w:szCs w:val="24"/>
          </w:rPr>
        </w:r>
        <w:r>
          <w:rPr>
            <w:noProof/>
            <w:webHidden/>
            <w:sz w:val="24"/>
            <w:szCs w:val="24"/>
          </w:rPr>
          <w:fldChar w:fldCharType="separate"/>
        </w:r>
        <w:r>
          <w:rPr>
            <w:noProof/>
            <w:webHidden/>
            <w:sz w:val="24"/>
            <w:szCs w:val="24"/>
          </w:rPr>
          <w:t>11</w:t>
        </w:r>
        <w:r>
          <w:rPr>
            <w:noProof/>
            <w:webHidden/>
            <w:sz w:val="24"/>
            <w:szCs w:val="24"/>
          </w:rPr>
          <w:fldChar w:fldCharType="end"/>
        </w:r>
      </w:hyperlink>
    </w:p>
    <w:p>
      <w:pPr>
        <w:pStyle w:val="TOC2"/>
        <w:tabs>
          <w:tab w:val="right" w:leader="dot" w:pos="9016"/>
        </w:tabs>
        <w:rPr>
          <w:rFonts w:eastAsiaTheme="minorEastAsia"/>
          <w:noProof/>
          <w:sz w:val="24"/>
          <w:szCs w:val="24"/>
          <w:lang w:eastAsia="en-GB"/>
        </w:rPr>
      </w:pPr>
      <w:hyperlink w:anchor="_Toc115268633" w:history="1">
        <w:r>
          <w:rPr>
            <w:rStyle w:val="Hyperlink"/>
            <w:rFonts w:cstheme="minorHAnsi"/>
            <w:noProof/>
            <w:sz w:val="24"/>
            <w:szCs w:val="24"/>
          </w:rPr>
          <w:t>Overall Summary</w:t>
        </w:r>
        <w:r>
          <w:rPr>
            <w:noProof/>
            <w:webHidden/>
            <w:sz w:val="24"/>
            <w:szCs w:val="24"/>
          </w:rPr>
          <w:tab/>
        </w:r>
        <w:r>
          <w:rPr>
            <w:noProof/>
            <w:webHidden/>
            <w:sz w:val="24"/>
            <w:szCs w:val="24"/>
          </w:rPr>
          <w:fldChar w:fldCharType="begin"/>
        </w:r>
        <w:r>
          <w:rPr>
            <w:noProof/>
            <w:webHidden/>
            <w:sz w:val="24"/>
            <w:szCs w:val="24"/>
          </w:rPr>
          <w:instrText xml:space="preserve"> PAGEREF _Toc115268633 \h </w:instrText>
        </w:r>
        <w:r>
          <w:rPr>
            <w:noProof/>
            <w:webHidden/>
            <w:sz w:val="24"/>
            <w:szCs w:val="24"/>
          </w:rPr>
        </w:r>
        <w:r>
          <w:rPr>
            <w:noProof/>
            <w:webHidden/>
            <w:sz w:val="24"/>
            <w:szCs w:val="24"/>
          </w:rPr>
          <w:fldChar w:fldCharType="separate"/>
        </w:r>
        <w:r>
          <w:rPr>
            <w:noProof/>
            <w:webHidden/>
            <w:sz w:val="24"/>
            <w:szCs w:val="24"/>
          </w:rPr>
          <w:t>14</w:t>
        </w:r>
        <w:r>
          <w:rPr>
            <w:noProof/>
            <w:webHidden/>
            <w:sz w:val="24"/>
            <w:szCs w:val="24"/>
          </w:rPr>
          <w:fldChar w:fldCharType="end"/>
        </w:r>
      </w:hyperlink>
    </w:p>
    <w:p>
      <w:pPr>
        <w:pStyle w:val="TOC2"/>
        <w:tabs>
          <w:tab w:val="right" w:leader="dot" w:pos="9016"/>
        </w:tabs>
        <w:rPr>
          <w:rFonts w:eastAsiaTheme="minorEastAsia"/>
          <w:noProof/>
          <w:sz w:val="24"/>
          <w:szCs w:val="24"/>
          <w:lang w:eastAsia="en-GB"/>
        </w:rPr>
      </w:pPr>
      <w:hyperlink w:anchor="_Toc115268634" w:history="1">
        <w:r>
          <w:rPr>
            <w:rStyle w:val="Hyperlink"/>
            <w:rFonts w:cstheme="minorHAnsi"/>
            <w:noProof/>
            <w:sz w:val="24"/>
            <w:szCs w:val="24"/>
          </w:rPr>
          <w:t>Areas for development 2022/23</w:t>
        </w:r>
        <w:r>
          <w:rPr>
            <w:noProof/>
            <w:webHidden/>
            <w:sz w:val="24"/>
            <w:szCs w:val="24"/>
          </w:rPr>
          <w:tab/>
        </w:r>
        <w:r>
          <w:rPr>
            <w:noProof/>
            <w:webHidden/>
            <w:sz w:val="24"/>
            <w:szCs w:val="24"/>
          </w:rPr>
          <w:fldChar w:fldCharType="begin"/>
        </w:r>
        <w:r>
          <w:rPr>
            <w:noProof/>
            <w:webHidden/>
            <w:sz w:val="24"/>
            <w:szCs w:val="24"/>
          </w:rPr>
          <w:instrText xml:space="preserve"> PAGEREF _Toc115268634 \h </w:instrText>
        </w:r>
        <w:r>
          <w:rPr>
            <w:noProof/>
            <w:webHidden/>
            <w:sz w:val="24"/>
            <w:szCs w:val="24"/>
          </w:rPr>
        </w:r>
        <w:r>
          <w:rPr>
            <w:noProof/>
            <w:webHidden/>
            <w:sz w:val="24"/>
            <w:szCs w:val="24"/>
          </w:rPr>
          <w:fldChar w:fldCharType="separate"/>
        </w:r>
        <w:r>
          <w:rPr>
            <w:noProof/>
            <w:webHidden/>
            <w:sz w:val="24"/>
            <w:szCs w:val="24"/>
          </w:rPr>
          <w:t>15</w:t>
        </w:r>
        <w:r>
          <w:rPr>
            <w:noProof/>
            <w:webHidden/>
            <w:sz w:val="24"/>
            <w:szCs w:val="24"/>
          </w:rPr>
          <w:fldChar w:fldCharType="end"/>
        </w:r>
      </w:hyperlink>
    </w:p>
    <w:p>
      <w:r>
        <w:fldChar w:fldCharType="end"/>
      </w:r>
    </w:p>
    <w:p/>
    <w:p/>
    <w:p/>
    <w:p/>
    <w:p/>
    <w:p/>
    <w:p/>
    <w:p/>
    <w:p/>
    <w:p/>
    <w:p/>
    <w:p/>
    <w:p/>
    <w:p>
      <w:pPr>
        <w:pStyle w:val="Heading2"/>
        <w:rPr>
          <w:rFonts w:asciiTheme="minorHAnsi" w:hAnsiTheme="minorHAnsi"/>
        </w:rPr>
      </w:pPr>
      <w:bookmarkStart w:id="0" w:name="_Toc57719795"/>
      <w:bookmarkStart w:id="1" w:name="_Toc115268620"/>
      <w:r>
        <w:rPr>
          <w:rFonts w:asciiTheme="minorHAnsi" w:hAnsiTheme="minorHAnsi"/>
        </w:rPr>
        <w:t>Whole School Headline Data</w:t>
      </w:r>
      <w:bookmarkEnd w:id="0"/>
      <w:bookmarkEnd w:id="1"/>
    </w:p>
    <w:p>
      <w:pPr>
        <w:rPr>
          <w:b/>
          <w:i/>
        </w:rPr>
      </w:pPr>
      <w:r>
        <w:rPr>
          <w:i/>
        </w:rPr>
        <w:t>Percentage of pupils making progress in English</w:t>
      </w:r>
      <w:proofErr w:type="gramStart"/>
      <w:r>
        <w:rPr>
          <w:i/>
        </w:rPr>
        <w:t>,  Maths</w:t>
      </w:r>
      <w:proofErr w:type="gramEnd"/>
      <w:r>
        <w:rPr>
          <w:i/>
        </w:rPr>
        <w:t xml:space="preserve"> and Science at the end of the Academic Year(All pupils receive are SEN and receive pupil premium so these groups are inclusive as Whole School). </w:t>
      </w:r>
      <w:proofErr w:type="gramStart"/>
      <w:r>
        <w:rPr>
          <w:i/>
        </w:rPr>
        <w:t>A comparison to 2020-21 figures are</w:t>
      </w:r>
      <w:proofErr w:type="gramEnd"/>
      <w:r>
        <w:rPr>
          <w:i/>
        </w:rPr>
        <w:t xml:space="preserve"> also included.</w:t>
      </w:r>
    </w:p>
    <w:tbl>
      <w:tblPr>
        <w:tblStyle w:val="TableGrid"/>
        <w:tblW w:w="9609" w:type="dxa"/>
        <w:tblLook w:val="04A0" w:firstRow="1" w:lastRow="0" w:firstColumn="1" w:lastColumn="0" w:noHBand="0" w:noVBand="1"/>
      </w:tblPr>
      <w:tblGrid>
        <w:gridCol w:w="1515"/>
        <w:gridCol w:w="2282"/>
        <w:gridCol w:w="2064"/>
        <w:gridCol w:w="2044"/>
        <w:gridCol w:w="1704"/>
      </w:tblGrid>
      <w:tr>
        <w:trPr>
          <w:trHeight w:val="362"/>
        </w:trPr>
        <w:tc>
          <w:tcPr>
            <w:tcW w:w="9609" w:type="dxa"/>
            <w:gridSpan w:val="5"/>
            <w:vAlign w:val="center"/>
          </w:tcPr>
          <w:p>
            <w:pPr>
              <w:jc w:val="center"/>
              <w:rPr>
                <w:b/>
                <w:i/>
                <w:sz w:val="28"/>
                <w:szCs w:val="28"/>
              </w:rPr>
            </w:pPr>
            <w:r>
              <w:rPr>
                <w:b/>
                <w:i/>
                <w:sz w:val="28"/>
                <w:szCs w:val="28"/>
              </w:rPr>
              <w:t>Whole School</w:t>
            </w:r>
          </w:p>
        </w:tc>
      </w:tr>
      <w:tr>
        <w:trPr>
          <w:trHeight w:val="716"/>
        </w:trPr>
        <w:tc>
          <w:tcPr>
            <w:tcW w:w="1515" w:type="dxa"/>
            <w:vAlign w:val="center"/>
          </w:tcPr>
          <w:p>
            <w:pPr>
              <w:jc w:val="center"/>
              <w:rPr>
                <w:b/>
                <w:i/>
                <w:sz w:val="28"/>
                <w:szCs w:val="28"/>
              </w:rPr>
            </w:pPr>
          </w:p>
        </w:tc>
        <w:tc>
          <w:tcPr>
            <w:tcW w:w="2282"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064" w:type="dxa"/>
            <w:vAlign w:val="center"/>
          </w:tcPr>
          <w:p>
            <w:pPr>
              <w:jc w:val="center"/>
              <w:rPr>
                <w:b/>
                <w:i/>
                <w:color w:val="0070C0"/>
                <w:sz w:val="28"/>
                <w:szCs w:val="28"/>
              </w:rPr>
            </w:pPr>
            <w:r>
              <w:rPr>
                <w:b/>
                <w:i/>
                <w:color w:val="0070C0"/>
                <w:sz w:val="28"/>
                <w:szCs w:val="28"/>
              </w:rPr>
              <w:t>Working Towards 21/22</w:t>
            </w:r>
          </w:p>
        </w:tc>
        <w:tc>
          <w:tcPr>
            <w:tcW w:w="2044"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704" w:type="dxa"/>
            <w:vAlign w:val="center"/>
          </w:tcPr>
          <w:p>
            <w:pPr>
              <w:jc w:val="center"/>
              <w:rPr>
                <w:b/>
                <w:i/>
                <w:sz w:val="28"/>
                <w:szCs w:val="28"/>
              </w:rPr>
            </w:pPr>
            <w:r>
              <w:rPr>
                <w:b/>
                <w:i/>
                <w:sz w:val="28"/>
                <w:szCs w:val="28"/>
              </w:rPr>
              <w:t>Working Towards 20/21</w:t>
            </w:r>
          </w:p>
        </w:tc>
      </w:tr>
      <w:tr>
        <w:trPr>
          <w:trHeight w:val="339"/>
        </w:trPr>
        <w:tc>
          <w:tcPr>
            <w:tcW w:w="1515" w:type="dxa"/>
            <w:vAlign w:val="center"/>
          </w:tcPr>
          <w:p>
            <w:pPr>
              <w:jc w:val="center"/>
              <w:rPr>
                <w:b/>
                <w:i/>
                <w:sz w:val="28"/>
                <w:szCs w:val="28"/>
              </w:rPr>
            </w:pPr>
            <w:r>
              <w:rPr>
                <w:b/>
                <w:i/>
                <w:sz w:val="28"/>
                <w:szCs w:val="28"/>
              </w:rPr>
              <w:t>ENGLISH</w:t>
            </w:r>
          </w:p>
        </w:tc>
        <w:tc>
          <w:tcPr>
            <w:tcW w:w="2282" w:type="dxa"/>
            <w:vAlign w:val="center"/>
          </w:tcPr>
          <w:p>
            <w:pPr>
              <w:jc w:val="center"/>
              <w:rPr>
                <w:b/>
                <w:i/>
                <w:sz w:val="28"/>
                <w:szCs w:val="28"/>
              </w:rPr>
            </w:pPr>
            <w:r>
              <w:rPr>
                <w:b/>
                <w:i/>
                <w:sz w:val="28"/>
                <w:szCs w:val="28"/>
              </w:rPr>
              <w:t>52%</w:t>
            </w:r>
          </w:p>
        </w:tc>
        <w:tc>
          <w:tcPr>
            <w:tcW w:w="2064" w:type="dxa"/>
            <w:vAlign w:val="center"/>
          </w:tcPr>
          <w:p>
            <w:pPr>
              <w:jc w:val="center"/>
              <w:rPr>
                <w:b/>
                <w:i/>
                <w:sz w:val="28"/>
                <w:szCs w:val="28"/>
              </w:rPr>
            </w:pPr>
            <w:r>
              <w:rPr>
                <w:b/>
                <w:i/>
                <w:sz w:val="28"/>
                <w:szCs w:val="28"/>
              </w:rPr>
              <w:t>48%</w:t>
            </w:r>
          </w:p>
        </w:tc>
        <w:tc>
          <w:tcPr>
            <w:tcW w:w="2044" w:type="dxa"/>
            <w:vAlign w:val="center"/>
          </w:tcPr>
          <w:p>
            <w:pPr>
              <w:jc w:val="center"/>
              <w:rPr>
                <w:b/>
                <w:i/>
                <w:sz w:val="28"/>
                <w:szCs w:val="28"/>
              </w:rPr>
            </w:pPr>
            <w:r>
              <w:rPr>
                <w:b/>
                <w:i/>
                <w:sz w:val="28"/>
                <w:szCs w:val="28"/>
              </w:rPr>
              <w:t>60%</w:t>
            </w:r>
          </w:p>
        </w:tc>
        <w:tc>
          <w:tcPr>
            <w:tcW w:w="1704" w:type="dxa"/>
            <w:vAlign w:val="center"/>
          </w:tcPr>
          <w:p>
            <w:pPr>
              <w:jc w:val="center"/>
              <w:rPr>
                <w:b/>
                <w:i/>
                <w:sz w:val="28"/>
                <w:szCs w:val="28"/>
              </w:rPr>
            </w:pPr>
            <w:r>
              <w:rPr>
                <w:b/>
                <w:i/>
                <w:sz w:val="28"/>
                <w:szCs w:val="28"/>
              </w:rPr>
              <w:t>40%</w:t>
            </w:r>
          </w:p>
        </w:tc>
      </w:tr>
      <w:tr>
        <w:trPr>
          <w:trHeight w:val="362"/>
        </w:trPr>
        <w:tc>
          <w:tcPr>
            <w:tcW w:w="1515" w:type="dxa"/>
            <w:vAlign w:val="center"/>
          </w:tcPr>
          <w:p>
            <w:pPr>
              <w:jc w:val="center"/>
              <w:rPr>
                <w:b/>
                <w:i/>
                <w:sz w:val="28"/>
                <w:szCs w:val="28"/>
              </w:rPr>
            </w:pPr>
            <w:r>
              <w:rPr>
                <w:b/>
                <w:i/>
                <w:sz w:val="28"/>
                <w:szCs w:val="28"/>
              </w:rPr>
              <w:t>MATHS</w:t>
            </w:r>
          </w:p>
        </w:tc>
        <w:tc>
          <w:tcPr>
            <w:tcW w:w="2282" w:type="dxa"/>
            <w:vAlign w:val="center"/>
          </w:tcPr>
          <w:p>
            <w:pPr>
              <w:jc w:val="center"/>
              <w:rPr>
                <w:b/>
                <w:i/>
                <w:sz w:val="28"/>
                <w:szCs w:val="28"/>
              </w:rPr>
            </w:pPr>
            <w:r>
              <w:rPr>
                <w:b/>
                <w:i/>
                <w:sz w:val="28"/>
                <w:szCs w:val="28"/>
              </w:rPr>
              <w:t>56%</w:t>
            </w:r>
          </w:p>
        </w:tc>
        <w:tc>
          <w:tcPr>
            <w:tcW w:w="2064" w:type="dxa"/>
            <w:vAlign w:val="center"/>
          </w:tcPr>
          <w:p>
            <w:pPr>
              <w:jc w:val="center"/>
              <w:rPr>
                <w:b/>
                <w:i/>
                <w:sz w:val="28"/>
                <w:szCs w:val="28"/>
              </w:rPr>
            </w:pPr>
            <w:r>
              <w:rPr>
                <w:b/>
                <w:i/>
                <w:sz w:val="28"/>
                <w:szCs w:val="28"/>
              </w:rPr>
              <w:t>44%</w:t>
            </w:r>
          </w:p>
        </w:tc>
        <w:tc>
          <w:tcPr>
            <w:tcW w:w="2044" w:type="dxa"/>
            <w:vAlign w:val="center"/>
          </w:tcPr>
          <w:p>
            <w:pPr>
              <w:jc w:val="center"/>
              <w:rPr>
                <w:b/>
                <w:i/>
                <w:sz w:val="28"/>
                <w:szCs w:val="28"/>
              </w:rPr>
            </w:pPr>
            <w:r>
              <w:rPr>
                <w:b/>
                <w:i/>
                <w:sz w:val="28"/>
                <w:szCs w:val="28"/>
              </w:rPr>
              <w:t>66%</w:t>
            </w:r>
          </w:p>
        </w:tc>
        <w:tc>
          <w:tcPr>
            <w:tcW w:w="1704" w:type="dxa"/>
            <w:vAlign w:val="center"/>
          </w:tcPr>
          <w:p>
            <w:pPr>
              <w:jc w:val="center"/>
              <w:rPr>
                <w:b/>
                <w:i/>
                <w:sz w:val="28"/>
                <w:szCs w:val="28"/>
              </w:rPr>
            </w:pPr>
            <w:r>
              <w:rPr>
                <w:b/>
                <w:i/>
                <w:sz w:val="28"/>
                <w:szCs w:val="28"/>
              </w:rPr>
              <w:t>34%</w:t>
            </w:r>
          </w:p>
        </w:tc>
      </w:tr>
      <w:tr>
        <w:trPr>
          <w:trHeight w:val="339"/>
        </w:trPr>
        <w:tc>
          <w:tcPr>
            <w:tcW w:w="1515" w:type="dxa"/>
            <w:vAlign w:val="center"/>
          </w:tcPr>
          <w:p>
            <w:pPr>
              <w:jc w:val="center"/>
              <w:rPr>
                <w:b/>
                <w:i/>
                <w:sz w:val="28"/>
                <w:szCs w:val="28"/>
              </w:rPr>
            </w:pPr>
            <w:r>
              <w:rPr>
                <w:b/>
                <w:i/>
                <w:sz w:val="28"/>
                <w:szCs w:val="28"/>
              </w:rPr>
              <w:t>SCIENCE</w:t>
            </w:r>
          </w:p>
        </w:tc>
        <w:tc>
          <w:tcPr>
            <w:tcW w:w="2282" w:type="dxa"/>
            <w:vAlign w:val="center"/>
          </w:tcPr>
          <w:p>
            <w:pPr>
              <w:jc w:val="center"/>
              <w:rPr>
                <w:b/>
                <w:i/>
                <w:sz w:val="28"/>
                <w:szCs w:val="28"/>
              </w:rPr>
            </w:pPr>
            <w:r>
              <w:rPr>
                <w:b/>
                <w:i/>
                <w:sz w:val="28"/>
                <w:szCs w:val="28"/>
              </w:rPr>
              <w:t>51%</w:t>
            </w:r>
          </w:p>
        </w:tc>
        <w:tc>
          <w:tcPr>
            <w:tcW w:w="2064" w:type="dxa"/>
            <w:vAlign w:val="center"/>
          </w:tcPr>
          <w:p>
            <w:pPr>
              <w:jc w:val="center"/>
              <w:rPr>
                <w:b/>
                <w:i/>
                <w:sz w:val="28"/>
                <w:szCs w:val="28"/>
              </w:rPr>
            </w:pPr>
            <w:r>
              <w:rPr>
                <w:b/>
                <w:i/>
                <w:sz w:val="28"/>
                <w:szCs w:val="28"/>
              </w:rPr>
              <w:t>49%</w:t>
            </w:r>
          </w:p>
        </w:tc>
        <w:tc>
          <w:tcPr>
            <w:tcW w:w="2044" w:type="dxa"/>
            <w:vAlign w:val="center"/>
          </w:tcPr>
          <w:p>
            <w:pPr>
              <w:jc w:val="center"/>
              <w:rPr>
                <w:b/>
                <w:i/>
                <w:sz w:val="28"/>
                <w:szCs w:val="28"/>
              </w:rPr>
            </w:pPr>
            <w:r>
              <w:rPr>
                <w:b/>
                <w:i/>
                <w:sz w:val="28"/>
                <w:szCs w:val="28"/>
              </w:rPr>
              <w:t>61%</w:t>
            </w:r>
          </w:p>
        </w:tc>
        <w:tc>
          <w:tcPr>
            <w:tcW w:w="1704" w:type="dxa"/>
            <w:vAlign w:val="center"/>
          </w:tcPr>
          <w:p>
            <w:pPr>
              <w:jc w:val="center"/>
              <w:rPr>
                <w:b/>
                <w:i/>
                <w:sz w:val="28"/>
                <w:szCs w:val="28"/>
              </w:rPr>
            </w:pPr>
            <w:r>
              <w:rPr>
                <w:b/>
                <w:i/>
                <w:sz w:val="28"/>
                <w:szCs w:val="28"/>
              </w:rPr>
              <w:t>39%</w:t>
            </w:r>
          </w:p>
        </w:tc>
      </w:tr>
    </w:tbl>
    <w:p>
      <w:pPr>
        <w:rPr>
          <w:b/>
          <w:i/>
        </w:rPr>
      </w:pPr>
    </w:p>
    <w:tbl>
      <w:tblPr>
        <w:tblStyle w:val="TableGrid"/>
        <w:tblW w:w="9565" w:type="dxa"/>
        <w:tblLook w:val="04A0" w:firstRow="1" w:lastRow="0" w:firstColumn="1" w:lastColumn="0" w:noHBand="0" w:noVBand="1"/>
      </w:tblPr>
      <w:tblGrid>
        <w:gridCol w:w="1509"/>
        <w:gridCol w:w="2354"/>
        <w:gridCol w:w="2071"/>
        <w:gridCol w:w="1941"/>
        <w:gridCol w:w="1690"/>
      </w:tblGrid>
      <w:tr>
        <w:trPr>
          <w:trHeight w:val="334"/>
        </w:trPr>
        <w:tc>
          <w:tcPr>
            <w:tcW w:w="9565" w:type="dxa"/>
            <w:gridSpan w:val="5"/>
            <w:vAlign w:val="center"/>
          </w:tcPr>
          <w:p>
            <w:pPr>
              <w:jc w:val="center"/>
              <w:rPr>
                <w:b/>
                <w:i/>
                <w:sz w:val="28"/>
                <w:szCs w:val="28"/>
              </w:rPr>
            </w:pPr>
            <w:r>
              <w:rPr>
                <w:b/>
                <w:i/>
                <w:sz w:val="28"/>
                <w:szCs w:val="28"/>
              </w:rPr>
              <w:t>Boys</w:t>
            </w:r>
          </w:p>
        </w:tc>
      </w:tr>
      <w:tr>
        <w:trPr>
          <w:trHeight w:val="704"/>
        </w:trPr>
        <w:tc>
          <w:tcPr>
            <w:tcW w:w="1509" w:type="dxa"/>
            <w:vAlign w:val="center"/>
          </w:tcPr>
          <w:p>
            <w:pPr>
              <w:jc w:val="center"/>
              <w:rPr>
                <w:b/>
                <w:i/>
                <w:sz w:val="28"/>
                <w:szCs w:val="28"/>
              </w:rPr>
            </w:pPr>
          </w:p>
        </w:tc>
        <w:tc>
          <w:tcPr>
            <w:tcW w:w="2354"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071" w:type="dxa"/>
            <w:vAlign w:val="center"/>
          </w:tcPr>
          <w:p>
            <w:pPr>
              <w:jc w:val="center"/>
              <w:rPr>
                <w:b/>
                <w:i/>
                <w:color w:val="0070C0"/>
                <w:sz w:val="28"/>
                <w:szCs w:val="28"/>
              </w:rPr>
            </w:pPr>
            <w:r>
              <w:rPr>
                <w:b/>
                <w:i/>
                <w:color w:val="0070C0"/>
                <w:sz w:val="28"/>
                <w:szCs w:val="28"/>
              </w:rPr>
              <w:t>Working Towards 21/22</w:t>
            </w:r>
          </w:p>
        </w:tc>
        <w:tc>
          <w:tcPr>
            <w:tcW w:w="1941"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690" w:type="dxa"/>
            <w:vAlign w:val="center"/>
          </w:tcPr>
          <w:p>
            <w:pPr>
              <w:jc w:val="center"/>
              <w:rPr>
                <w:b/>
                <w:i/>
                <w:sz w:val="28"/>
                <w:szCs w:val="28"/>
              </w:rPr>
            </w:pPr>
            <w:r>
              <w:rPr>
                <w:b/>
                <w:i/>
                <w:sz w:val="28"/>
                <w:szCs w:val="28"/>
              </w:rPr>
              <w:t>Working Towards 20/21</w:t>
            </w:r>
          </w:p>
        </w:tc>
      </w:tr>
      <w:tr>
        <w:trPr>
          <w:trHeight w:val="334"/>
        </w:trPr>
        <w:tc>
          <w:tcPr>
            <w:tcW w:w="1509" w:type="dxa"/>
            <w:vAlign w:val="center"/>
          </w:tcPr>
          <w:p>
            <w:pPr>
              <w:jc w:val="center"/>
              <w:rPr>
                <w:b/>
                <w:i/>
                <w:sz w:val="28"/>
                <w:szCs w:val="28"/>
              </w:rPr>
            </w:pPr>
            <w:r>
              <w:rPr>
                <w:b/>
                <w:i/>
                <w:sz w:val="28"/>
                <w:szCs w:val="28"/>
              </w:rPr>
              <w:t>ENGLISH</w:t>
            </w:r>
          </w:p>
        </w:tc>
        <w:tc>
          <w:tcPr>
            <w:tcW w:w="2354" w:type="dxa"/>
            <w:vAlign w:val="center"/>
          </w:tcPr>
          <w:p>
            <w:pPr>
              <w:jc w:val="center"/>
              <w:rPr>
                <w:b/>
                <w:i/>
                <w:sz w:val="28"/>
                <w:szCs w:val="28"/>
              </w:rPr>
            </w:pPr>
            <w:r>
              <w:rPr>
                <w:b/>
                <w:i/>
                <w:sz w:val="28"/>
                <w:szCs w:val="28"/>
              </w:rPr>
              <w:t>48%</w:t>
            </w:r>
          </w:p>
        </w:tc>
        <w:tc>
          <w:tcPr>
            <w:tcW w:w="2071" w:type="dxa"/>
            <w:vAlign w:val="center"/>
          </w:tcPr>
          <w:p>
            <w:pPr>
              <w:jc w:val="center"/>
              <w:rPr>
                <w:b/>
                <w:i/>
                <w:sz w:val="28"/>
                <w:szCs w:val="28"/>
              </w:rPr>
            </w:pPr>
            <w:r>
              <w:rPr>
                <w:b/>
                <w:i/>
                <w:sz w:val="28"/>
                <w:szCs w:val="28"/>
              </w:rPr>
              <w:t>52%</w:t>
            </w:r>
          </w:p>
        </w:tc>
        <w:tc>
          <w:tcPr>
            <w:tcW w:w="1941" w:type="dxa"/>
            <w:vAlign w:val="center"/>
          </w:tcPr>
          <w:p>
            <w:pPr>
              <w:jc w:val="center"/>
              <w:rPr>
                <w:b/>
                <w:i/>
                <w:sz w:val="28"/>
                <w:szCs w:val="28"/>
              </w:rPr>
            </w:pPr>
            <w:r>
              <w:rPr>
                <w:b/>
                <w:i/>
                <w:sz w:val="28"/>
                <w:szCs w:val="28"/>
              </w:rPr>
              <w:t>56%</w:t>
            </w:r>
          </w:p>
        </w:tc>
        <w:tc>
          <w:tcPr>
            <w:tcW w:w="1690" w:type="dxa"/>
            <w:vAlign w:val="center"/>
          </w:tcPr>
          <w:p>
            <w:pPr>
              <w:jc w:val="center"/>
              <w:rPr>
                <w:b/>
                <w:i/>
                <w:sz w:val="28"/>
                <w:szCs w:val="28"/>
              </w:rPr>
            </w:pPr>
            <w:r>
              <w:rPr>
                <w:b/>
                <w:i/>
                <w:sz w:val="28"/>
                <w:szCs w:val="28"/>
              </w:rPr>
              <w:t>44%</w:t>
            </w:r>
          </w:p>
        </w:tc>
      </w:tr>
      <w:tr>
        <w:trPr>
          <w:trHeight w:val="334"/>
        </w:trPr>
        <w:tc>
          <w:tcPr>
            <w:tcW w:w="1509" w:type="dxa"/>
            <w:vAlign w:val="center"/>
          </w:tcPr>
          <w:p>
            <w:pPr>
              <w:jc w:val="center"/>
              <w:rPr>
                <w:b/>
                <w:i/>
                <w:sz w:val="28"/>
                <w:szCs w:val="28"/>
              </w:rPr>
            </w:pPr>
            <w:r>
              <w:rPr>
                <w:b/>
                <w:i/>
                <w:sz w:val="28"/>
                <w:szCs w:val="28"/>
              </w:rPr>
              <w:t>MATHS</w:t>
            </w:r>
          </w:p>
        </w:tc>
        <w:tc>
          <w:tcPr>
            <w:tcW w:w="2354" w:type="dxa"/>
            <w:vAlign w:val="center"/>
          </w:tcPr>
          <w:p>
            <w:pPr>
              <w:jc w:val="center"/>
              <w:rPr>
                <w:b/>
                <w:i/>
                <w:sz w:val="28"/>
                <w:szCs w:val="28"/>
              </w:rPr>
            </w:pPr>
            <w:r>
              <w:rPr>
                <w:b/>
                <w:i/>
                <w:sz w:val="28"/>
                <w:szCs w:val="28"/>
              </w:rPr>
              <w:t>54%</w:t>
            </w:r>
          </w:p>
        </w:tc>
        <w:tc>
          <w:tcPr>
            <w:tcW w:w="2071" w:type="dxa"/>
            <w:vAlign w:val="center"/>
          </w:tcPr>
          <w:p>
            <w:pPr>
              <w:jc w:val="center"/>
              <w:rPr>
                <w:b/>
                <w:i/>
                <w:sz w:val="28"/>
                <w:szCs w:val="28"/>
              </w:rPr>
            </w:pPr>
            <w:r>
              <w:rPr>
                <w:b/>
                <w:i/>
                <w:sz w:val="28"/>
                <w:szCs w:val="28"/>
              </w:rPr>
              <w:t>46%</w:t>
            </w:r>
          </w:p>
        </w:tc>
        <w:tc>
          <w:tcPr>
            <w:tcW w:w="1941" w:type="dxa"/>
            <w:vAlign w:val="center"/>
          </w:tcPr>
          <w:p>
            <w:pPr>
              <w:jc w:val="center"/>
              <w:rPr>
                <w:b/>
                <w:i/>
                <w:sz w:val="28"/>
                <w:szCs w:val="28"/>
              </w:rPr>
            </w:pPr>
            <w:r>
              <w:rPr>
                <w:b/>
                <w:i/>
                <w:sz w:val="28"/>
                <w:szCs w:val="28"/>
              </w:rPr>
              <w:t>67%</w:t>
            </w:r>
          </w:p>
        </w:tc>
        <w:tc>
          <w:tcPr>
            <w:tcW w:w="1690" w:type="dxa"/>
            <w:vAlign w:val="center"/>
          </w:tcPr>
          <w:p>
            <w:pPr>
              <w:jc w:val="center"/>
              <w:rPr>
                <w:b/>
                <w:i/>
                <w:sz w:val="28"/>
                <w:szCs w:val="28"/>
              </w:rPr>
            </w:pPr>
            <w:r>
              <w:rPr>
                <w:b/>
                <w:i/>
                <w:sz w:val="28"/>
                <w:szCs w:val="28"/>
              </w:rPr>
              <w:t>33%</w:t>
            </w:r>
          </w:p>
        </w:tc>
      </w:tr>
      <w:tr>
        <w:trPr>
          <w:trHeight w:val="356"/>
        </w:trPr>
        <w:tc>
          <w:tcPr>
            <w:tcW w:w="1509" w:type="dxa"/>
            <w:vAlign w:val="center"/>
          </w:tcPr>
          <w:p>
            <w:pPr>
              <w:jc w:val="center"/>
              <w:rPr>
                <w:b/>
                <w:i/>
                <w:sz w:val="28"/>
                <w:szCs w:val="28"/>
              </w:rPr>
            </w:pPr>
            <w:r>
              <w:rPr>
                <w:b/>
                <w:i/>
                <w:sz w:val="28"/>
                <w:szCs w:val="28"/>
              </w:rPr>
              <w:t>SCIENCE</w:t>
            </w:r>
          </w:p>
        </w:tc>
        <w:tc>
          <w:tcPr>
            <w:tcW w:w="2354" w:type="dxa"/>
            <w:vAlign w:val="center"/>
          </w:tcPr>
          <w:p>
            <w:pPr>
              <w:jc w:val="center"/>
              <w:rPr>
                <w:b/>
                <w:i/>
                <w:sz w:val="28"/>
                <w:szCs w:val="28"/>
              </w:rPr>
            </w:pPr>
            <w:r>
              <w:rPr>
                <w:b/>
                <w:i/>
                <w:sz w:val="28"/>
                <w:szCs w:val="28"/>
              </w:rPr>
              <w:t>52%</w:t>
            </w:r>
          </w:p>
        </w:tc>
        <w:tc>
          <w:tcPr>
            <w:tcW w:w="2071" w:type="dxa"/>
            <w:vAlign w:val="center"/>
          </w:tcPr>
          <w:p>
            <w:pPr>
              <w:jc w:val="center"/>
              <w:rPr>
                <w:b/>
                <w:i/>
                <w:sz w:val="28"/>
                <w:szCs w:val="28"/>
              </w:rPr>
            </w:pPr>
            <w:r>
              <w:rPr>
                <w:b/>
                <w:i/>
                <w:sz w:val="28"/>
                <w:szCs w:val="28"/>
              </w:rPr>
              <w:t>48%</w:t>
            </w:r>
          </w:p>
        </w:tc>
        <w:tc>
          <w:tcPr>
            <w:tcW w:w="1941" w:type="dxa"/>
            <w:vAlign w:val="center"/>
          </w:tcPr>
          <w:p>
            <w:pPr>
              <w:jc w:val="center"/>
              <w:rPr>
                <w:b/>
                <w:i/>
                <w:sz w:val="28"/>
                <w:szCs w:val="28"/>
              </w:rPr>
            </w:pPr>
            <w:r>
              <w:rPr>
                <w:b/>
                <w:i/>
                <w:sz w:val="28"/>
                <w:szCs w:val="28"/>
              </w:rPr>
              <w:t>50%</w:t>
            </w:r>
          </w:p>
        </w:tc>
        <w:tc>
          <w:tcPr>
            <w:tcW w:w="1690" w:type="dxa"/>
            <w:vAlign w:val="center"/>
          </w:tcPr>
          <w:p>
            <w:pPr>
              <w:jc w:val="center"/>
              <w:rPr>
                <w:b/>
                <w:i/>
                <w:sz w:val="28"/>
                <w:szCs w:val="28"/>
              </w:rPr>
            </w:pPr>
            <w:r>
              <w:rPr>
                <w:b/>
                <w:i/>
                <w:sz w:val="28"/>
                <w:szCs w:val="28"/>
              </w:rPr>
              <w:t>50%</w:t>
            </w:r>
          </w:p>
        </w:tc>
      </w:tr>
    </w:tbl>
    <w:p>
      <w:pPr>
        <w:rPr>
          <w:b/>
          <w:i/>
        </w:rPr>
      </w:pPr>
    </w:p>
    <w:tbl>
      <w:tblPr>
        <w:tblStyle w:val="TableGrid"/>
        <w:tblW w:w="9544" w:type="dxa"/>
        <w:tblLook w:val="04A0" w:firstRow="1" w:lastRow="0" w:firstColumn="1" w:lastColumn="0" w:noHBand="0" w:noVBand="1"/>
      </w:tblPr>
      <w:tblGrid>
        <w:gridCol w:w="1505"/>
        <w:gridCol w:w="2349"/>
        <w:gridCol w:w="2066"/>
        <w:gridCol w:w="1937"/>
        <w:gridCol w:w="1687"/>
      </w:tblGrid>
      <w:tr>
        <w:trPr>
          <w:trHeight w:val="316"/>
        </w:trPr>
        <w:tc>
          <w:tcPr>
            <w:tcW w:w="9544" w:type="dxa"/>
            <w:gridSpan w:val="5"/>
            <w:vAlign w:val="center"/>
          </w:tcPr>
          <w:p>
            <w:pPr>
              <w:jc w:val="center"/>
              <w:rPr>
                <w:b/>
                <w:i/>
                <w:sz w:val="28"/>
                <w:szCs w:val="28"/>
              </w:rPr>
            </w:pPr>
            <w:r>
              <w:rPr>
                <w:b/>
                <w:i/>
                <w:sz w:val="28"/>
                <w:szCs w:val="28"/>
              </w:rPr>
              <w:t>Girls</w:t>
            </w:r>
          </w:p>
        </w:tc>
      </w:tr>
      <w:tr>
        <w:trPr>
          <w:trHeight w:val="668"/>
        </w:trPr>
        <w:tc>
          <w:tcPr>
            <w:tcW w:w="1505" w:type="dxa"/>
            <w:vAlign w:val="center"/>
          </w:tcPr>
          <w:p>
            <w:pPr>
              <w:jc w:val="center"/>
              <w:rPr>
                <w:b/>
                <w:i/>
                <w:sz w:val="28"/>
                <w:szCs w:val="28"/>
              </w:rPr>
            </w:pPr>
          </w:p>
        </w:tc>
        <w:tc>
          <w:tcPr>
            <w:tcW w:w="2349"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066" w:type="dxa"/>
            <w:vAlign w:val="center"/>
          </w:tcPr>
          <w:p>
            <w:pPr>
              <w:jc w:val="center"/>
              <w:rPr>
                <w:b/>
                <w:i/>
                <w:color w:val="0070C0"/>
                <w:sz w:val="28"/>
                <w:szCs w:val="28"/>
              </w:rPr>
            </w:pPr>
            <w:r>
              <w:rPr>
                <w:b/>
                <w:i/>
                <w:color w:val="0070C0"/>
                <w:sz w:val="28"/>
                <w:szCs w:val="28"/>
              </w:rPr>
              <w:t>Working Towards 21/22</w:t>
            </w:r>
          </w:p>
        </w:tc>
        <w:tc>
          <w:tcPr>
            <w:tcW w:w="1937"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687" w:type="dxa"/>
            <w:vAlign w:val="center"/>
          </w:tcPr>
          <w:p>
            <w:pPr>
              <w:jc w:val="center"/>
              <w:rPr>
                <w:b/>
                <w:i/>
                <w:sz w:val="28"/>
                <w:szCs w:val="28"/>
              </w:rPr>
            </w:pPr>
            <w:r>
              <w:rPr>
                <w:b/>
                <w:i/>
                <w:sz w:val="28"/>
                <w:szCs w:val="28"/>
              </w:rPr>
              <w:t>Working Towards 20/21</w:t>
            </w:r>
          </w:p>
        </w:tc>
      </w:tr>
      <w:tr>
        <w:trPr>
          <w:trHeight w:val="316"/>
        </w:trPr>
        <w:tc>
          <w:tcPr>
            <w:tcW w:w="1505" w:type="dxa"/>
            <w:vAlign w:val="center"/>
          </w:tcPr>
          <w:p>
            <w:pPr>
              <w:jc w:val="center"/>
              <w:rPr>
                <w:b/>
                <w:i/>
                <w:sz w:val="28"/>
                <w:szCs w:val="28"/>
              </w:rPr>
            </w:pPr>
            <w:r>
              <w:rPr>
                <w:b/>
                <w:i/>
                <w:sz w:val="28"/>
                <w:szCs w:val="28"/>
              </w:rPr>
              <w:t>ENGLISH</w:t>
            </w:r>
          </w:p>
        </w:tc>
        <w:tc>
          <w:tcPr>
            <w:tcW w:w="2349" w:type="dxa"/>
            <w:vAlign w:val="center"/>
          </w:tcPr>
          <w:p>
            <w:pPr>
              <w:jc w:val="center"/>
              <w:rPr>
                <w:b/>
                <w:i/>
                <w:sz w:val="28"/>
                <w:szCs w:val="28"/>
              </w:rPr>
            </w:pPr>
            <w:r>
              <w:rPr>
                <w:b/>
                <w:i/>
                <w:sz w:val="28"/>
                <w:szCs w:val="28"/>
              </w:rPr>
              <w:t>66%</w:t>
            </w:r>
          </w:p>
        </w:tc>
        <w:tc>
          <w:tcPr>
            <w:tcW w:w="2066" w:type="dxa"/>
            <w:vAlign w:val="center"/>
          </w:tcPr>
          <w:p>
            <w:pPr>
              <w:jc w:val="center"/>
              <w:rPr>
                <w:b/>
                <w:i/>
                <w:sz w:val="28"/>
                <w:szCs w:val="28"/>
              </w:rPr>
            </w:pPr>
            <w:r>
              <w:rPr>
                <w:b/>
                <w:i/>
                <w:sz w:val="28"/>
                <w:szCs w:val="28"/>
              </w:rPr>
              <w:t>34%</w:t>
            </w:r>
          </w:p>
        </w:tc>
        <w:tc>
          <w:tcPr>
            <w:tcW w:w="1937" w:type="dxa"/>
            <w:vAlign w:val="center"/>
          </w:tcPr>
          <w:p>
            <w:pPr>
              <w:jc w:val="center"/>
              <w:rPr>
                <w:b/>
                <w:i/>
                <w:sz w:val="28"/>
                <w:szCs w:val="28"/>
              </w:rPr>
            </w:pPr>
            <w:r>
              <w:rPr>
                <w:b/>
                <w:i/>
                <w:sz w:val="28"/>
                <w:szCs w:val="28"/>
              </w:rPr>
              <w:t>66%</w:t>
            </w:r>
          </w:p>
        </w:tc>
        <w:tc>
          <w:tcPr>
            <w:tcW w:w="1687" w:type="dxa"/>
            <w:vAlign w:val="center"/>
          </w:tcPr>
          <w:p>
            <w:pPr>
              <w:jc w:val="center"/>
              <w:rPr>
                <w:b/>
                <w:i/>
                <w:sz w:val="28"/>
                <w:szCs w:val="28"/>
              </w:rPr>
            </w:pPr>
            <w:r>
              <w:rPr>
                <w:b/>
                <w:i/>
                <w:sz w:val="28"/>
                <w:szCs w:val="28"/>
              </w:rPr>
              <w:t>34%</w:t>
            </w:r>
          </w:p>
        </w:tc>
      </w:tr>
      <w:tr>
        <w:trPr>
          <w:trHeight w:val="338"/>
        </w:trPr>
        <w:tc>
          <w:tcPr>
            <w:tcW w:w="1505" w:type="dxa"/>
            <w:vAlign w:val="center"/>
          </w:tcPr>
          <w:p>
            <w:pPr>
              <w:jc w:val="center"/>
              <w:rPr>
                <w:b/>
                <w:i/>
                <w:sz w:val="28"/>
                <w:szCs w:val="28"/>
              </w:rPr>
            </w:pPr>
            <w:r>
              <w:rPr>
                <w:b/>
                <w:i/>
                <w:sz w:val="28"/>
                <w:szCs w:val="28"/>
              </w:rPr>
              <w:t>MATHS</w:t>
            </w:r>
          </w:p>
        </w:tc>
        <w:tc>
          <w:tcPr>
            <w:tcW w:w="2349" w:type="dxa"/>
            <w:vAlign w:val="center"/>
          </w:tcPr>
          <w:p>
            <w:pPr>
              <w:jc w:val="center"/>
              <w:rPr>
                <w:b/>
                <w:i/>
                <w:sz w:val="28"/>
                <w:szCs w:val="28"/>
              </w:rPr>
            </w:pPr>
            <w:r>
              <w:rPr>
                <w:b/>
                <w:i/>
                <w:sz w:val="28"/>
                <w:szCs w:val="28"/>
              </w:rPr>
              <w:t>66%</w:t>
            </w:r>
          </w:p>
        </w:tc>
        <w:tc>
          <w:tcPr>
            <w:tcW w:w="2066" w:type="dxa"/>
            <w:vAlign w:val="center"/>
          </w:tcPr>
          <w:p>
            <w:pPr>
              <w:jc w:val="center"/>
              <w:rPr>
                <w:b/>
                <w:i/>
                <w:sz w:val="28"/>
                <w:szCs w:val="28"/>
              </w:rPr>
            </w:pPr>
            <w:r>
              <w:rPr>
                <w:b/>
                <w:i/>
                <w:sz w:val="28"/>
                <w:szCs w:val="28"/>
              </w:rPr>
              <w:t>34%</w:t>
            </w:r>
          </w:p>
        </w:tc>
        <w:tc>
          <w:tcPr>
            <w:tcW w:w="1937" w:type="dxa"/>
            <w:vAlign w:val="center"/>
          </w:tcPr>
          <w:p>
            <w:pPr>
              <w:jc w:val="center"/>
              <w:rPr>
                <w:b/>
                <w:i/>
                <w:sz w:val="28"/>
                <w:szCs w:val="28"/>
              </w:rPr>
            </w:pPr>
            <w:r>
              <w:rPr>
                <w:b/>
                <w:i/>
                <w:sz w:val="28"/>
                <w:szCs w:val="28"/>
              </w:rPr>
              <w:t>66%</w:t>
            </w:r>
          </w:p>
        </w:tc>
        <w:tc>
          <w:tcPr>
            <w:tcW w:w="1687" w:type="dxa"/>
            <w:vAlign w:val="center"/>
          </w:tcPr>
          <w:p>
            <w:pPr>
              <w:jc w:val="center"/>
              <w:rPr>
                <w:b/>
                <w:i/>
                <w:sz w:val="28"/>
                <w:szCs w:val="28"/>
              </w:rPr>
            </w:pPr>
            <w:r>
              <w:rPr>
                <w:b/>
                <w:i/>
                <w:sz w:val="28"/>
                <w:szCs w:val="28"/>
              </w:rPr>
              <w:t>34%</w:t>
            </w:r>
          </w:p>
        </w:tc>
      </w:tr>
      <w:tr>
        <w:trPr>
          <w:trHeight w:val="338"/>
        </w:trPr>
        <w:tc>
          <w:tcPr>
            <w:tcW w:w="1505" w:type="dxa"/>
            <w:vAlign w:val="center"/>
          </w:tcPr>
          <w:p>
            <w:pPr>
              <w:jc w:val="center"/>
              <w:rPr>
                <w:b/>
                <w:i/>
                <w:sz w:val="28"/>
                <w:szCs w:val="28"/>
              </w:rPr>
            </w:pPr>
            <w:r>
              <w:rPr>
                <w:b/>
                <w:i/>
                <w:sz w:val="28"/>
                <w:szCs w:val="28"/>
              </w:rPr>
              <w:t>SCIENCE</w:t>
            </w:r>
          </w:p>
        </w:tc>
        <w:tc>
          <w:tcPr>
            <w:tcW w:w="2349" w:type="dxa"/>
            <w:vAlign w:val="center"/>
          </w:tcPr>
          <w:p>
            <w:pPr>
              <w:jc w:val="center"/>
              <w:rPr>
                <w:b/>
                <w:i/>
                <w:sz w:val="28"/>
                <w:szCs w:val="28"/>
              </w:rPr>
            </w:pPr>
            <w:r>
              <w:rPr>
                <w:b/>
                <w:i/>
                <w:sz w:val="28"/>
                <w:szCs w:val="28"/>
              </w:rPr>
              <w:t>50%</w:t>
            </w:r>
          </w:p>
        </w:tc>
        <w:tc>
          <w:tcPr>
            <w:tcW w:w="2066" w:type="dxa"/>
            <w:vAlign w:val="center"/>
          </w:tcPr>
          <w:p>
            <w:pPr>
              <w:jc w:val="center"/>
              <w:rPr>
                <w:b/>
                <w:i/>
                <w:sz w:val="28"/>
                <w:szCs w:val="28"/>
              </w:rPr>
            </w:pPr>
            <w:r>
              <w:rPr>
                <w:b/>
                <w:i/>
                <w:sz w:val="28"/>
                <w:szCs w:val="28"/>
              </w:rPr>
              <w:t>50%</w:t>
            </w:r>
          </w:p>
        </w:tc>
        <w:tc>
          <w:tcPr>
            <w:tcW w:w="1937" w:type="dxa"/>
            <w:vAlign w:val="center"/>
          </w:tcPr>
          <w:p>
            <w:pPr>
              <w:jc w:val="center"/>
              <w:rPr>
                <w:b/>
                <w:i/>
                <w:sz w:val="28"/>
                <w:szCs w:val="28"/>
              </w:rPr>
            </w:pPr>
            <w:r>
              <w:rPr>
                <w:b/>
                <w:i/>
                <w:sz w:val="28"/>
                <w:szCs w:val="28"/>
              </w:rPr>
              <w:t>100%</w:t>
            </w:r>
          </w:p>
        </w:tc>
        <w:tc>
          <w:tcPr>
            <w:tcW w:w="1687" w:type="dxa"/>
            <w:vAlign w:val="center"/>
          </w:tcPr>
          <w:p>
            <w:pPr>
              <w:jc w:val="center"/>
              <w:rPr>
                <w:b/>
                <w:i/>
                <w:sz w:val="28"/>
                <w:szCs w:val="28"/>
              </w:rPr>
            </w:pPr>
            <w:r>
              <w:rPr>
                <w:b/>
                <w:i/>
                <w:sz w:val="28"/>
                <w:szCs w:val="28"/>
              </w:rPr>
              <w:t>0%</w:t>
            </w:r>
          </w:p>
        </w:tc>
      </w:tr>
    </w:tbl>
    <w:p>
      <w:pPr>
        <w:rPr>
          <w:b/>
          <w:i/>
        </w:rPr>
      </w:pPr>
    </w:p>
    <w:tbl>
      <w:tblPr>
        <w:tblStyle w:val="TableGrid"/>
        <w:tblW w:w="9502" w:type="dxa"/>
        <w:tblLook w:val="04A0" w:firstRow="1" w:lastRow="0" w:firstColumn="1" w:lastColumn="0" w:noHBand="0" w:noVBand="1"/>
      </w:tblPr>
      <w:tblGrid>
        <w:gridCol w:w="1498"/>
        <w:gridCol w:w="2339"/>
        <w:gridCol w:w="2083"/>
        <w:gridCol w:w="1903"/>
        <w:gridCol w:w="1679"/>
      </w:tblGrid>
      <w:tr>
        <w:trPr>
          <w:trHeight w:val="353"/>
        </w:trPr>
        <w:tc>
          <w:tcPr>
            <w:tcW w:w="9502" w:type="dxa"/>
            <w:gridSpan w:val="5"/>
            <w:vAlign w:val="center"/>
          </w:tcPr>
          <w:p>
            <w:pPr>
              <w:jc w:val="center"/>
              <w:rPr>
                <w:b/>
                <w:i/>
                <w:sz w:val="28"/>
                <w:szCs w:val="28"/>
              </w:rPr>
            </w:pPr>
            <w:r>
              <w:rPr>
                <w:b/>
                <w:i/>
                <w:sz w:val="28"/>
                <w:szCs w:val="28"/>
              </w:rPr>
              <w:t>LAC</w:t>
            </w:r>
          </w:p>
        </w:tc>
      </w:tr>
      <w:tr>
        <w:trPr>
          <w:trHeight w:val="698"/>
        </w:trPr>
        <w:tc>
          <w:tcPr>
            <w:tcW w:w="1498" w:type="dxa"/>
            <w:vAlign w:val="center"/>
          </w:tcPr>
          <w:p>
            <w:pPr>
              <w:jc w:val="center"/>
              <w:rPr>
                <w:b/>
                <w:i/>
                <w:sz w:val="28"/>
                <w:szCs w:val="28"/>
              </w:rPr>
            </w:pPr>
          </w:p>
        </w:tc>
        <w:tc>
          <w:tcPr>
            <w:tcW w:w="2339"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083" w:type="dxa"/>
            <w:vAlign w:val="center"/>
          </w:tcPr>
          <w:p>
            <w:pPr>
              <w:jc w:val="center"/>
              <w:rPr>
                <w:b/>
                <w:i/>
                <w:color w:val="0070C0"/>
                <w:sz w:val="28"/>
                <w:szCs w:val="28"/>
              </w:rPr>
            </w:pPr>
            <w:r>
              <w:rPr>
                <w:b/>
                <w:i/>
                <w:color w:val="0070C0"/>
                <w:sz w:val="28"/>
                <w:szCs w:val="28"/>
              </w:rPr>
              <w:t>Working Towards 21/22</w:t>
            </w:r>
          </w:p>
        </w:tc>
        <w:tc>
          <w:tcPr>
            <w:tcW w:w="1903"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679" w:type="dxa"/>
            <w:vAlign w:val="center"/>
          </w:tcPr>
          <w:p>
            <w:pPr>
              <w:jc w:val="center"/>
              <w:rPr>
                <w:b/>
                <w:i/>
                <w:sz w:val="28"/>
                <w:szCs w:val="28"/>
              </w:rPr>
            </w:pPr>
            <w:r>
              <w:rPr>
                <w:b/>
                <w:i/>
                <w:sz w:val="28"/>
                <w:szCs w:val="28"/>
              </w:rPr>
              <w:t>Working Towards 20/21</w:t>
            </w:r>
          </w:p>
        </w:tc>
      </w:tr>
      <w:tr>
        <w:trPr>
          <w:trHeight w:val="330"/>
        </w:trPr>
        <w:tc>
          <w:tcPr>
            <w:tcW w:w="1498" w:type="dxa"/>
            <w:vAlign w:val="center"/>
          </w:tcPr>
          <w:p>
            <w:pPr>
              <w:jc w:val="center"/>
              <w:rPr>
                <w:b/>
                <w:i/>
                <w:sz w:val="28"/>
                <w:szCs w:val="28"/>
              </w:rPr>
            </w:pPr>
            <w:r>
              <w:rPr>
                <w:b/>
                <w:i/>
                <w:sz w:val="28"/>
                <w:szCs w:val="28"/>
              </w:rPr>
              <w:t>ENGLISH</w:t>
            </w:r>
          </w:p>
        </w:tc>
        <w:tc>
          <w:tcPr>
            <w:tcW w:w="2339" w:type="dxa"/>
            <w:vAlign w:val="center"/>
          </w:tcPr>
          <w:p>
            <w:pPr>
              <w:jc w:val="center"/>
              <w:rPr>
                <w:b/>
                <w:i/>
                <w:sz w:val="28"/>
                <w:szCs w:val="28"/>
              </w:rPr>
            </w:pPr>
            <w:r>
              <w:rPr>
                <w:b/>
                <w:i/>
                <w:sz w:val="28"/>
                <w:szCs w:val="28"/>
              </w:rPr>
              <w:t>67%</w:t>
            </w:r>
          </w:p>
        </w:tc>
        <w:tc>
          <w:tcPr>
            <w:tcW w:w="2083" w:type="dxa"/>
            <w:vAlign w:val="center"/>
          </w:tcPr>
          <w:p>
            <w:pPr>
              <w:jc w:val="center"/>
              <w:rPr>
                <w:b/>
                <w:i/>
                <w:sz w:val="28"/>
                <w:szCs w:val="28"/>
              </w:rPr>
            </w:pPr>
            <w:r>
              <w:rPr>
                <w:b/>
                <w:i/>
                <w:sz w:val="28"/>
                <w:szCs w:val="28"/>
              </w:rPr>
              <w:t>33%</w:t>
            </w:r>
          </w:p>
        </w:tc>
        <w:tc>
          <w:tcPr>
            <w:tcW w:w="1903" w:type="dxa"/>
            <w:vAlign w:val="center"/>
          </w:tcPr>
          <w:p>
            <w:pPr>
              <w:jc w:val="center"/>
              <w:rPr>
                <w:b/>
                <w:i/>
                <w:sz w:val="28"/>
                <w:szCs w:val="28"/>
              </w:rPr>
            </w:pPr>
            <w:r>
              <w:rPr>
                <w:b/>
                <w:i/>
                <w:sz w:val="28"/>
                <w:szCs w:val="28"/>
              </w:rPr>
              <w:t>67%</w:t>
            </w:r>
          </w:p>
        </w:tc>
        <w:tc>
          <w:tcPr>
            <w:tcW w:w="1679" w:type="dxa"/>
            <w:vAlign w:val="center"/>
          </w:tcPr>
          <w:p>
            <w:pPr>
              <w:jc w:val="center"/>
              <w:rPr>
                <w:b/>
                <w:i/>
                <w:sz w:val="28"/>
                <w:szCs w:val="28"/>
              </w:rPr>
            </w:pPr>
            <w:r>
              <w:rPr>
                <w:b/>
                <w:i/>
                <w:sz w:val="28"/>
                <w:szCs w:val="28"/>
              </w:rPr>
              <w:t>33%</w:t>
            </w:r>
          </w:p>
        </w:tc>
      </w:tr>
      <w:tr>
        <w:trPr>
          <w:trHeight w:val="353"/>
        </w:trPr>
        <w:tc>
          <w:tcPr>
            <w:tcW w:w="1498" w:type="dxa"/>
            <w:vAlign w:val="center"/>
          </w:tcPr>
          <w:p>
            <w:pPr>
              <w:jc w:val="center"/>
              <w:rPr>
                <w:b/>
                <w:i/>
                <w:sz w:val="28"/>
                <w:szCs w:val="28"/>
              </w:rPr>
            </w:pPr>
            <w:r>
              <w:rPr>
                <w:b/>
                <w:i/>
                <w:sz w:val="28"/>
                <w:szCs w:val="28"/>
              </w:rPr>
              <w:t>MATHS</w:t>
            </w:r>
          </w:p>
        </w:tc>
        <w:tc>
          <w:tcPr>
            <w:tcW w:w="2339" w:type="dxa"/>
            <w:vAlign w:val="center"/>
          </w:tcPr>
          <w:p>
            <w:pPr>
              <w:jc w:val="center"/>
              <w:rPr>
                <w:b/>
                <w:i/>
                <w:sz w:val="28"/>
                <w:szCs w:val="28"/>
              </w:rPr>
            </w:pPr>
            <w:r>
              <w:rPr>
                <w:b/>
                <w:i/>
                <w:sz w:val="28"/>
                <w:szCs w:val="28"/>
              </w:rPr>
              <w:t>75%</w:t>
            </w:r>
          </w:p>
        </w:tc>
        <w:tc>
          <w:tcPr>
            <w:tcW w:w="2083" w:type="dxa"/>
            <w:vAlign w:val="center"/>
          </w:tcPr>
          <w:p>
            <w:pPr>
              <w:jc w:val="center"/>
              <w:rPr>
                <w:b/>
                <w:i/>
                <w:sz w:val="28"/>
                <w:szCs w:val="28"/>
              </w:rPr>
            </w:pPr>
            <w:r>
              <w:rPr>
                <w:b/>
                <w:i/>
                <w:sz w:val="28"/>
                <w:szCs w:val="28"/>
              </w:rPr>
              <w:t>25%</w:t>
            </w:r>
          </w:p>
        </w:tc>
        <w:tc>
          <w:tcPr>
            <w:tcW w:w="1903" w:type="dxa"/>
            <w:vAlign w:val="center"/>
          </w:tcPr>
          <w:p>
            <w:pPr>
              <w:jc w:val="center"/>
              <w:rPr>
                <w:b/>
                <w:i/>
                <w:sz w:val="28"/>
                <w:szCs w:val="28"/>
              </w:rPr>
            </w:pPr>
            <w:r>
              <w:rPr>
                <w:b/>
                <w:i/>
                <w:sz w:val="28"/>
                <w:szCs w:val="28"/>
              </w:rPr>
              <w:t>78%</w:t>
            </w:r>
          </w:p>
        </w:tc>
        <w:tc>
          <w:tcPr>
            <w:tcW w:w="1679" w:type="dxa"/>
            <w:vAlign w:val="center"/>
          </w:tcPr>
          <w:p>
            <w:pPr>
              <w:jc w:val="center"/>
              <w:rPr>
                <w:b/>
                <w:i/>
                <w:sz w:val="28"/>
                <w:szCs w:val="28"/>
              </w:rPr>
            </w:pPr>
            <w:r>
              <w:rPr>
                <w:b/>
                <w:i/>
                <w:sz w:val="28"/>
                <w:szCs w:val="28"/>
              </w:rPr>
              <w:t>22%</w:t>
            </w:r>
          </w:p>
        </w:tc>
      </w:tr>
      <w:tr>
        <w:trPr>
          <w:trHeight w:val="330"/>
        </w:trPr>
        <w:tc>
          <w:tcPr>
            <w:tcW w:w="1498" w:type="dxa"/>
            <w:vAlign w:val="center"/>
          </w:tcPr>
          <w:p>
            <w:pPr>
              <w:jc w:val="center"/>
              <w:rPr>
                <w:b/>
                <w:i/>
                <w:sz w:val="28"/>
                <w:szCs w:val="28"/>
              </w:rPr>
            </w:pPr>
            <w:r>
              <w:rPr>
                <w:b/>
                <w:i/>
                <w:sz w:val="28"/>
                <w:szCs w:val="28"/>
              </w:rPr>
              <w:t>SCIENCE</w:t>
            </w:r>
          </w:p>
        </w:tc>
        <w:tc>
          <w:tcPr>
            <w:tcW w:w="2339" w:type="dxa"/>
            <w:vAlign w:val="center"/>
          </w:tcPr>
          <w:p>
            <w:pPr>
              <w:jc w:val="center"/>
              <w:rPr>
                <w:b/>
                <w:i/>
                <w:sz w:val="28"/>
                <w:szCs w:val="28"/>
              </w:rPr>
            </w:pPr>
            <w:r>
              <w:rPr>
                <w:b/>
                <w:i/>
                <w:sz w:val="28"/>
                <w:szCs w:val="28"/>
              </w:rPr>
              <w:t>64%</w:t>
            </w:r>
          </w:p>
        </w:tc>
        <w:tc>
          <w:tcPr>
            <w:tcW w:w="2083" w:type="dxa"/>
            <w:vAlign w:val="center"/>
          </w:tcPr>
          <w:p>
            <w:pPr>
              <w:jc w:val="center"/>
              <w:rPr>
                <w:b/>
                <w:i/>
                <w:sz w:val="28"/>
                <w:szCs w:val="28"/>
              </w:rPr>
            </w:pPr>
            <w:r>
              <w:rPr>
                <w:b/>
                <w:i/>
                <w:sz w:val="28"/>
                <w:szCs w:val="28"/>
              </w:rPr>
              <w:t>36%</w:t>
            </w:r>
          </w:p>
        </w:tc>
        <w:tc>
          <w:tcPr>
            <w:tcW w:w="1903" w:type="dxa"/>
            <w:vAlign w:val="center"/>
          </w:tcPr>
          <w:p>
            <w:pPr>
              <w:jc w:val="center"/>
              <w:rPr>
                <w:b/>
                <w:i/>
                <w:sz w:val="28"/>
                <w:szCs w:val="28"/>
              </w:rPr>
            </w:pPr>
            <w:r>
              <w:rPr>
                <w:b/>
                <w:i/>
                <w:sz w:val="28"/>
                <w:szCs w:val="28"/>
              </w:rPr>
              <w:t>78%</w:t>
            </w:r>
          </w:p>
        </w:tc>
        <w:tc>
          <w:tcPr>
            <w:tcW w:w="1679" w:type="dxa"/>
            <w:vAlign w:val="center"/>
          </w:tcPr>
          <w:p>
            <w:pPr>
              <w:jc w:val="center"/>
              <w:rPr>
                <w:b/>
                <w:i/>
                <w:sz w:val="28"/>
                <w:szCs w:val="28"/>
              </w:rPr>
            </w:pPr>
            <w:r>
              <w:rPr>
                <w:b/>
                <w:i/>
                <w:sz w:val="28"/>
                <w:szCs w:val="28"/>
              </w:rPr>
              <w:t>22%</w:t>
            </w:r>
          </w:p>
        </w:tc>
      </w:tr>
    </w:tbl>
    <w:p>
      <w:pPr>
        <w:rPr>
          <w:b/>
          <w:i/>
        </w:rPr>
      </w:pPr>
    </w:p>
    <w:p>
      <w:pPr>
        <w:rPr>
          <w:b/>
          <w:i/>
        </w:rPr>
      </w:pPr>
    </w:p>
    <w:p>
      <w:pPr>
        <w:pStyle w:val="Heading3"/>
        <w:rPr>
          <w:rFonts w:asciiTheme="minorHAnsi" w:hAnsiTheme="minorHAnsi"/>
          <w:sz w:val="24"/>
          <w:szCs w:val="24"/>
        </w:rPr>
      </w:pPr>
      <w:bookmarkStart w:id="2" w:name="_Toc57719796"/>
      <w:bookmarkStart w:id="3" w:name="_Toc115268621"/>
      <w:r>
        <w:rPr>
          <w:rFonts w:asciiTheme="minorHAnsi" w:hAnsiTheme="minorHAnsi"/>
          <w:sz w:val="24"/>
          <w:szCs w:val="24"/>
        </w:rPr>
        <w:t>Headline Data by Key stage – English, Maths and Science</w:t>
      </w:r>
      <w:bookmarkEnd w:id="2"/>
      <w:bookmarkEnd w:id="3"/>
    </w:p>
    <w:p>
      <w:pPr>
        <w:rPr>
          <w:b/>
          <w:i/>
        </w:rPr>
      </w:pPr>
    </w:p>
    <w:tbl>
      <w:tblPr>
        <w:tblStyle w:val="TableGrid"/>
        <w:tblW w:w="9501" w:type="dxa"/>
        <w:tblLook w:val="04A0" w:firstRow="1" w:lastRow="0" w:firstColumn="1" w:lastColumn="0" w:noHBand="0" w:noVBand="1"/>
      </w:tblPr>
      <w:tblGrid>
        <w:gridCol w:w="1493"/>
        <w:gridCol w:w="2267"/>
        <w:gridCol w:w="2339"/>
        <w:gridCol w:w="1701"/>
        <w:gridCol w:w="1701"/>
      </w:tblGrid>
      <w:tr>
        <w:trPr>
          <w:trHeight w:val="344"/>
        </w:trPr>
        <w:tc>
          <w:tcPr>
            <w:tcW w:w="9501" w:type="dxa"/>
            <w:gridSpan w:val="5"/>
            <w:vAlign w:val="center"/>
          </w:tcPr>
          <w:p>
            <w:pPr>
              <w:jc w:val="center"/>
              <w:rPr>
                <w:b/>
                <w:i/>
                <w:sz w:val="28"/>
                <w:szCs w:val="28"/>
              </w:rPr>
            </w:pPr>
            <w:r>
              <w:rPr>
                <w:b/>
                <w:i/>
                <w:sz w:val="28"/>
                <w:szCs w:val="28"/>
              </w:rPr>
              <w:t>KS2</w:t>
            </w:r>
          </w:p>
        </w:tc>
      </w:tr>
      <w:tr>
        <w:trPr>
          <w:trHeight w:val="680"/>
        </w:trPr>
        <w:tc>
          <w:tcPr>
            <w:tcW w:w="1493" w:type="dxa"/>
            <w:vAlign w:val="center"/>
          </w:tcPr>
          <w:p>
            <w:pPr>
              <w:jc w:val="center"/>
              <w:rPr>
                <w:b/>
                <w:i/>
                <w:sz w:val="28"/>
                <w:szCs w:val="28"/>
              </w:rPr>
            </w:pPr>
          </w:p>
        </w:tc>
        <w:tc>
          <w:tcPr>
            <w:tcW w:w="2267"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339" w:type="dxa"/>
            <w:vAlign w:val="center"/>
          </w:tcPr>
          <w:p>
            <w:pPr>
              <w:jc w:val="center"/>
              <w:rPr>
                <w:b/>
                <w:i/>
                <w:color w:val="0070C0"/>
                <w:sz w:val="28"/>
                <w:szCs w:val="28"/>
              </w:rPr>
            </w:pPr>
            <w:r>
              <w:rPr>
                <w:b/>
                <w:i/>
                <w:color w:val="0070C0"/>
                <w:sz w:val="28"/>
                <w:szCs w:val="28"/>
              </w:rPr>
              <w:t>Working Towards 21/22</w:t>
            </w:r>
          </w:p>
        </w:tc>
        <w:tc>
          <w:tcPr>
            <w:tcW w:w="1701"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701" w:type="dxa"/>
            <w:vAlign w:val="center"/>
          </w:tcPr>
          <w:p>
            <w:pPr>
              <w:jc w:val="center"/>
              <w:rPr>
                <w:b/>
                <w:i/>
                <w:sz w:val="28"/>
                <w:szCs w:val="28"/>
              </w:rPr>
            </w:pPr>
            <w:r>
              <w:rPr>
                <w:b/>
                <w:i/>
                <w:sz w:val="28"/>
                <w:szCs w:val="28"/>
              </w:rPr>
              <w:t>Working Towards 20/21</w:t>
            </w:r>
          </w:p>
        </w:tc>
      </w:tr>
      <w:tr>
        <w:trPr>
          <w:trHeight w:val="322"/>
        </w:trPr>
        <w:tc>
          <w:tcPr>
            <w:tcW w:w="1493" w:type="dxa"/>
            <w:vAlign w:val="center"/>
          </w:tcPr>
          <w:p>
            <w:pPr>
              <w:jc w:val="center"/>
              <w:rPr>
                <w:b/>
                <w:i/>
                <w:sz w:val="28"/>
                <w:szCs w:val="28"/>
              </w:rPr>
            </w:pPr>
            <w:r>
              <w:rPr>
                <w:b/>
                <w:i/>
                <w:sz w:val="28"/>
                <w:szCs w:val="28"/>
              </w:rPr>
              <w:t>ENGLISH</w:t>
            </w:r>
          </w:p>
        </w:tc>
        <w:tc>
          <w:tcPr>
            <w:tcW w:w="2267" w:type="dxa"/>
            <w:vAlign w:val="center"/>
          </w:tcPr>
          <w:p>
            <w:pPr>
              <w:jc w:val="center"/>
              <w:rPr>
                <w:b/>
                <w:i/>
                <w:sz w:val="28"/>
                <w:szCs w:val="28"/>
              </w:rPr>
            </w:pPr>
            <w:r>
              <w:rPr>
                <w:b/>
                <w:i/>
                <w:sz w:val="28"/>
                <w:szCs w:val="28"/>
              </w:rPr>
              <w:t>78%</w:t>
            </w:r>
          </w:p>
        </w:tc>
        <w:tc>
          <w:tcPr>
            <w:tcW w:w="2339" w:type="dxa"/>
            <w:vAlign w:val="center"/>
          </w:tcPr>
          <w:p>
            <w:pPr>
              <w:jc w:val="center"/>
              <w:rPr>
                <w:b/>
                <w:i/>
                <w:sz w:val="28"/>
                <w:szCs w:val="28"/>
              </w:rPr>
            </w:pPr>
            <w:r>
              <w:rPr>
                <w:b/>
                <w:i/>
                <w:sz w:val="28"/>
                <w:szCs w:val="28"/>
              </w:rPr>
              <w:t>22%</w:t>
            </w:r>
          </w:p>
        </w:tc>
        <w:tc>
          <w:tcPr>
            <w:tcW w:w="1701" w:type="dxa"/>
            <w:vAlign w:val="center"/>
          </w:tcPr>
          <w:p>
            <w:pPr>
              <w:jc w:val="center"/>
              <w:rPr>
                <w:b/>
                <w:i/>
                <w:sz w:val="28"/>
                <w:szCs w:val="28"/>
              </w:rPr>
            </w:pPr>
            <w:r>
              <w:rPr>
                <w:b/>
                <w:i/>
                <w:sz w:val="28"/>
                <w:szCs w:val="28"/>
              </w:rPr>
              <w:t>85%</w:t>
            </w:r>
          </w:p>
        </w:tc>
        <w:tc>
          <w:tcPr>
            <w:tcW w:w="1701" w:type="dxa"/>
            <w:vAlign w:val="center"/>
          </w:tcPr>
          <w:p>
            <w:pPr>
              <w:jc w:val="center"/>
              <w:rPr>
                <w:b/>
                <w:i/>
                <w:sz w:val="28"/>
                <w:szCs w:val="28"/>
              </w:rPr>
            </w:pPr>
            <w:r>
              <w:rPr>
                <w:b/>
                <w:i/>
                <w:sz w:val="28"/>
                <w:szCs w:val="28"/>
              </w:rPr>
              <w:t>15%</w:t>
            </w:r>
          </w:p>
        </w:tc>
      </w:tr>
      <w:tr>
        <w:trPr>
          <w:trHeight w:val="344"/>
        </w:trPr>
        <w:tc>
          <w:tcPr>
            <w:tcW w:w="1493" w:type="dxa"/>
            <w:vAlign w:val="center"/>
          </w:tcPr>
          <w:p>
            <w:pPr>
              <w:jc w:val="center"/>
              <w:rPr>
                <w:b/>
                <w:i/>
                <w:sz w:val="28"/>
                <w:szCs w:val="28"/>
              </w:rPr>
            </w:pPr>
            <w:r>
              <w:rPr>
                <w:b/>
                <w:i/>
                <w:sz w:val="28"/>
                <w:szCs w:val="28"/>
              </w:rPr>
              <w:t>MATHS</w:t>
            </w:r>
          </w:p>
        </w:tc>
        <w:tc>
          <w:tcPr>
            <w:tcW w:w="2267" w:type="dxa"/>
            <w:vAlign w:val="center"/>
          </w:tcPr>
          <w:p>
            <w:pPr>
              <w:jc w:val="center"/>
              <w:rPr>
                <w:b/>
                <w:i/>
                <w:sz w:val="28"/>
                <w:szCs w:val="28"/>
              </w:rPr>
            </w:pPr>
            <w:r>
              <w:rPr>
                <w:b/>
                <w:i/>
                <w:sz w:val="28"/>
                <w:szCs w:val="28"/>
              </w:rPr>
              <w:t>78%</w:t>
            </w:r>
          </w:p>
        </w:tc>
        <w:tc>
          <w:tcPr>
            <w:tcW w:w="2339" w:type="dxa"/>
            <w:tcBorders>
              <w:right w:val="single" w:sz="4" w:space="0" w:color="auto"/>
            </w:tcBorders>
            <w:vAlign w:val="center"/>
          </w:tcPr>
          <w:p>
            <w:pPr>
              <w:jc w:val="center"/>
              <w:rPr>
                <w:b/>
                <w:i/>
                <w:sz w:val="28"/>
                <w:szCs w:val="28"/>
              </w:rPr>
            </w:pPr>
            <w:r>
              <w:rPr>
                <w:b/>
                <w:i/>
                <w:sz w:val="28"/>
                <w:szCs w:val="28"/>
              </w:rPr>
              <w:t>22%</w:t>
            </w:r>
          </w:p>
        </w:tc>
        <w:tc>
          <w:tcPr>
            <w:tcW w:w="1701" w:type="dxa"/>
            <w:tcBorders>
              <w:right w:val="single" w:sz="4" w:space="0" w:color="auto"/>
            </w:tcBorders>
            <w:vAlign w:val="center"/>
          </w:tcPr>
          <w:p>
            <w:pPr>
              <w:jc w:val="center"/>
              <w:rPr>
                <w:b/>
                <w:i/>
                <w:sz w:val="28"/>
                <w:szCs w:val="28"/>
              </w:rPr>
            </w:pPr>
            <w:r>
              <w:rPr>
                <w:b/>
                <w:i/>
                <w:sz w:val="28"/>
                <w:szCs w:val="28"/>
              </w:rPr>
              <w:t>85%</w:t>
            </w:r>
          </w:p>
        </w:tc>
        <w:tc>
          <w:tcPr>
            <w:tcW w:w="1701" w:type="dxa"/>
            <w:tcBorders>
              <w:right w:val="single" w:sz="4" w:space="0" w:color="auto"/>
            </w:tcBorders>
            <w:vAlign w:val="center"/>
          </w:tcPr>
          <w:p>
            <w:pPr>
              <w:jc w:val="center"/>
              <w:rPr>
                <w:b/>
                <w:i/>
                <w:sz w:val="28"/>
                <w:szCs w:val="28"/>
              </w:rPr>
            </w:pPr>
            <w:r>
              <w:rPr>
                <w:b/>
                <w:i/>
                <w:sz w:val="28"/>
                <w:szCs w:val="28"/>
              </w:rPr>
              <w:t>15%</w:t>
            </w:r>
          </w:p>
        </w:tc>
      </w:tr>
      <w:tr>
        <w:trPr>
          <w:trHeight w:val="322"/>
        </w:trPr>
        <w:tc>
          <w:tcPr>
            <w:tcW w:w="1493" w:type="dxa"/>
            <w:vAlign w:val="center"/>
          </w:tcPr>
          <w:p>
            <w:pPr>
              <w:jc w:val="center"/>
              <w:rPr>
                <w:b/>
                <w:i/>
                <w:sz w:val="28"/>
                <w:szCs w:val="28"/>
              </w:rPr>
            </w:pPr>
            <w:r>
              <w:rPr>
                <w:b/>
                <w:i/>
                <w:sz w:val="28"/>
                <w:szCs w:val="28"/>
              </w:rPr>
              <w:t>SCIENCE</w:t>
            </w:r>
          </w:p>
        </w:tc>
        <w:tc>
          <w:tcPr>
            <w:tcW w:w="2267" w:type="dxa"/>
            <w:vAlign w:val="center"/>
          </w:tcPr>
          <w:p>
            <w:pPr>
              <w:jc w:val="center"/>
              <w:rPr>
                <w:b/>
                <w:i/>
                <w:sz w:val="28"/>
                <w:szCs w:val="28"/>
              </w:rPr>
            </w:pPr>
            <w:r>
              <w:rPr>
                <w:b/>
                <w:i/>
                <w:sz w:val="28"/>
                <w:szCs w:val="28"/>
              </w:rPr>
              <w:t>67%</w:t>
            </w:r>
          </w:p>
        </w:tc>
        <w:tc>
          <w:tcPr>
            <w:tcW w:w="2339" w:type="dxa"/>
            <w:tcBorders>
              <w:right w:val="single" w:sz="4" w:space="0" w:color="auto"/>
            </w:tcBorders>
            <w:vAlign w:val="center"/>
          </w:tcPr>
          <w:p>
            <w:pPr>
              <w:jc w:val="center"/>
              <w:rPr>
                <w:b/>
                <w:i/>
                <w:sz w:val="28"/>
                <w:szCs w:val="28"/>
              </w:rPr>
            </w:pPr>
            <w:r>
              <w:rPr>
                <w:b/>
                <w:i/>
                <w:sz w:val="28"/>
                <w:szCs w:val="28"/>
              </w:rPr>
              <w:t>33%</w:t>
            </w:r>
          </w:p>
        </w:tc>
        <w:tc>
          <w:tcPr>
            <w:tcW w:w="1701" w:type="dxa"/>
            <w:tcBorders>
              <w:right w:val="single" w:sz="4" w:space="0" w:color="auto"/>
            </w:tcBorders>
            <w:vAlign w:val="center"/>
          </w:tcPr>
          <w:p>
            <w:pPr>
              <w:jc w:val="center"/>
              <w:rPr>
                <w:b/>
                <w:i/>
                <w:sz w:val="28"/>
                <w:szCs w:val="28"/>
              </w:rPr>
            </w:pPr>
            <w:r>
              <w:rPr>
                <w:b/>
                <w:i/>
                <w:sz w:val="28"/>
                <w:szCs w:val="28"/>
              </w:rPr>
              <w:t>85%</w:t>
            </w:r>
          </w:p>
        </w:tc>
        <w:tc>
          <w:tcPr>
            <w:tcW w:w="1701" w:type="dxa"/>
            <w:tcBorders>
              <w:right w:val="single" w:sz="4" w:space="0" w:color="auto"/>
            </w:tcBorders>
            <w:vAlign w:val="center"/>
          </w:tcPr>
          <w:p>
            <w:pPr>
              <w:jc w:val="center"/>
              <w:rPr>
                <w:b/>
                <w:i/>
                <w:sz w:val="28"/>
                <w:szCs w:val="28"/>
              </w:rPr>
            </w:pPr>
            <w:r>
              <w:rPr>
                <w:b/>
                <w:i/>
                <w:sz w:val="28"/>
                <w:szCs w:val="28"/>
              </w:rPr>
              <w:t>15%</w:t>
            </w:r>
          </w:p>
        </w:tc>
      </w:tr>
    </w:tbl>
    <w:p>
      <w:pPr>
        <w:rPr>
          <w:b/>
          <w:i/>
        </w:rPr>
      </w:pPr>
    </w:p>
    <w:tbl>
      <w:tblPr>
        <w:tblStyle w:val="TableGrid"/>
        <w:tblW w:w="9501" w:type="dxa"/>
        <w:tblLook w:val="04A0" w:firstRow="1" w:lastRow="0" w:firstColumn="1" w:lastColumn="0" w:noHBand="0" w:noVBand="1"/>
      </w:tblPr>
      <w:tblGrid>
        <w:gridCol w:w="1481"/>
        <w:gridCol w:w="2313"/>
        <w:gridCol w:w="2268"/>
        <w:gridCol w:w="1802"/>
        <w:gridCol w:w="1637"/>
      </w:tblGrid>
      <w:tr>
        <w:trPr>
          <w:trHeight w:val="350"/>
        </w:trPr>
        <w:tc>
          <w:tcPr>
            <w:tcW w:w="9501" w:type="dxa"/>
            <w:gridSpan w:val="5"/>
            <w:vAlign w:val="center"/>
          </w:tcPr>
          <w:p>
            <w:pPr>
              <w:jc w:val="center"/>
              <w:rPr>
                <w:b/>
                <w:i/>
                <w:sz w:val="28"/>
                <w:szCs w:val="28"/>
              </w:rPr>
            </w:pPr>
            <w:r>
              <w:rPr>
                <w:b/>
                <w:i/>
                <w:sz w:val="28"/>
                <w:szCs w:val="28"/>
              </w:rPr>
              <w:t>KS3</w:t>
            </w:r>
          </w:p>
        </w:tc>
      </w:tr>
      <w:tr>
        <w:trPr>
          <w:trHeight w:val="692"/>
        </w:trPr>
        <w:tc>
          <w:tcPr>
            <w:tcW w:w="1481" w:type="dxa"/>
            <w:vAlign w:val="center"/>
          </w:tcPr>
          <w:p>
            <w:pPr>
              <w:jc w:val="center"/>
              <w:rPr>
                <w:b/>
                <w:i/>
                <w:sz w:val="28"/>
                <w:szCs w:val="28"/>
              </w:rPr>
            </w:pPr>
          </w:p>
        </w:tc>
        <w:tc>
          <w:tcPr>
            <w:tcW w:w="2313"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268" w:type="dxa"/>
            <w:tcBorders>
              <w:bottom w:val="single" w:sz="4" w:space="0" w:color="auto"/>
            </w:tcBorders>
            <w:vAlign w:val="center"/>
          </w:tcPr>
          <w:p>
            <w:pPr>
              <w:jc w:val="center"/>
              <w:rPr>
                <w:b/>
                <w:i/>
                <w:color w:val="0070C0"/>
                <w:sz w:val="28"/>
                <w:szCs w:val="28"/>
              </w:rPr>
            </w:pPr>
            <w:r>
              <w:rPr>
                <w:b/>
                <w:i/>
                <w:color w:val="0070C0"/>
                <w:sz w:val="28"/>
                <w:szCs w:val="28"/>
              </w:rPr>
              <w:t>Working Towards 21/22</w:t>
            </w:r>
          </w:p>
        </w:tc>
        <w:tc>
          <w:tcPr>
            <w:tcW w:w="1802" w:type="dxa"/>
            <w:tcBorders>
              <w:bottom w:val="single" w:sz="4" w:space="0" w:color="auto"/>
            </w:tcBorders>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637" w:type="dxa"/>
            <w:tcBorders>
              <w:bottom w:val="single" w:sz="4" w:space="0" w:color="auto"/>
            </w:tcBorders>
            <w:vAlign w:val="center"/>
          </w:tcPr>
          <w:p>
            <w:pPr>
              <w:jc w:val="center"/>
              <w:rPr>
                <w:b/>
                <w:i/>
                <w:sz w:val="28"/>
                <w:szCs w:val="28"/>
              </w:rPr>
            </w:pPr>
            <w:r>
              <w:rPr>
                <w:b/>
                <w:i/>
                <w:sz w:val="28"/>
                <w:szCs w:val="28"/>
              </w:rPr>
              <w:t>Working Towards 20/21</w:t>
            </w:r>
          </w:p>
        </w:tc>
      </w:tr>
      <w:tr>
        <w:trPr>
          <w:trHeight w:val="328"/>
        </w:trPr>
        <w:tc>
          <w:tcPr>
            <w:tcW w:w="1481" w:type="dxa"/>
            <w:vAlign w:val="center"/>
          </w:tcPr>
          <w:p>
            <w:pPr>
              <w:jc w:val="center"/>
              <w:rPr>
                <w:b/>
                <w:i/>
                <w:sz w:val="28"/>
                <w:szCs w:val="28"/>
              </w:rPr>
            </w:pPr>
            <w:r>
              <w:rPr>
                <w:b/>
                <w:i/>
                <w:sz w:val="28"/>
                <w:szCs w:val="28"/>
              </w:rPr>
              <w:t>ENGLISH</w:t>
            </w:r>
          </w:p>
        </w:tc>
        <w:tc>
          <w:tcPr>
            <w:tcW w:w="2313" w:type="dxa"/>
            <w:vAlign w:val="center"/>
          </w:tcPr>
          <w:p>
            <w:pPr>
              <w:jc w:val="center"/>
              <w:rPr>
                <w:b/>
                <w:i/>
                <w:sz w:val="28"/>
                <w:szCs w:val="28"/>
              </w:rPr>
            </w:pPr>
            <w:r>
              <w:rPr>
                <w:b/>
                <w:i/>
                <w:sz w:val="28"/>
                <w:szCs w:val="28"/>
              </w:rPr>
              <w:t>42%</w:t>
            </w:r>
          </w:p>
        </w:tc>
        <w:tc>
          <w:tcPr>
            <w:tcW w:w="2268" w:type="dxa"/>
            <w:vAlign w:val="center"/>
          </w:tcPr>
          <w:p>
            <w:pPr>
              <w:jc w:val="center"/>
              <w:rPr>
                <w:b/>
                <w:i/>
                <w:sz w:val="28"/>
                <w:szCs w:val="28"/>
              </w:rPr>
            </w:pPr>
            <w:r>
              <w:rPr>
                <w:b/>
                <w:i/>
                <w:sz w:val="28"/>
                <w:szCs w:val="28"/>
              </w:rPr>
              <w:t>58%</w:t>
            </w:r>
          </w:p>
        </w:tc>
        <w:tc>
          <w:tcPr>
            <w:tcW w:w="1802" w:type="dxa"/>
            <w:vAlign w:val="center"/>
          </w:tcPr>
          <w:p>
            <w:pPr>
              <w:jc w:val="center"/>
              <w:rPr>
                <w:b/>
                <w:i/>
                <w:sz w:val="28"/>
                <w:szCs w:val="28"/>
              </w:rPr>
            </w:pPr>
            <w:r>
              <w:rPr>
                <w:b/>
                <w:i/>
                <w:sz w:val="28"/>
                <w:szCs w:val="28"/>
              </w:rPr>
              <w:t>66%</w:t>
            </w:r>
          </w:p>
        </w:tc>
        <w:tc>
          <w:tcPr>
            <w:tcW w:w="1637" w:type="dxa"/>
            <w:vAlign w:val="center"/>
          </w:tcPr>
          <w:p>
            <w:pPr>
              <w:jc w:val="center"/>
              <w:rPr>
                <w:b/>
                <w:i/>
                <w:sz w:val="28"/>
                <w:szCs w:val="28"/>
              </w:rPr>
            </w:pPr>
            <w:r>
              <w:rPr>
                <w:b/>
                <w:i/>
                <w:sz w:val="28"/>
                <w:szCs w:val="28"/>
              </w:rPr>
              <w:t>34%</w:t>
            </w:r>
          </w:p>
        </w:tc>
      </w:tr>
      <w:tr>
        <w:trPr>
          <w:trHeight w:val="350"/>
        </w:trPr>
        <w:tc>
          <w:tcPr>
            <w:tcW w:w="1481" w:type="dxa"/>
            <w:vAlign w:val="center"/>
          </w:tcPr>
          <w:p>
            <w:pPr>
              <w:jc w:val="center"/>
              <w:rPr>
                <w:b/>
                <w:i/>
                <w:sz w:val="28"/>
                <w:szCs w:val="28"/>
              </w:rPr>
            </w:pPr>
            <w:r>
              <w:rPr>
                <w:b/>
                <w:i/>
                <w:sz w:val="28"/>
                <w:szCs w:val="28"/>
              </w:rPr>
              <w:t>MATHS</w:t>
            </w:r>
          </w:p>
        </w:tc>
        <w:tc>
          <w:tcPr>
            <w:tcW w:w="2313" w:type="dxa"/>
            <w:vAlign w:val="center"/>
          </w:tcPr>
          <w:p>
            <w:pPr>
              <w:jc w:val="center"/>
              <w:rPr>
                <w:b/>
                <w:i/>
                <w:sz w:val="28"/>
                <w:szCs w:val="28"/>
              </w:rPr>
            </w:pPr>
            <w:r>
              <w:rPr>
                <w:b/>
                <w:i/>
                <w:sz w:val="28"/>
                <w:szCs w:val="28"/>
              </w:rPr>
              <w:t>50%</w:t>
            </w:r>
          </w:p>
        </w:tc>
        <w:tc>
          <w:tcPr>
            <w:tcW w:w="2268" w:type="dxa"/>
            <w:tcBorders>
              <w:right w:val="single" w:sz="4" w:space="0" w:color="auto"/>
            </w:tcBorders>
            <w:vAlign w:val="center"/>
          </w:tcPr>
          <w:p>
            <w:pPr>
              <w:jc w:val="center"/>
              <w:rPr>
                <w:b/>
                <w:i/>
                <w:sz w:val="28"/>
                <w:szCs w:val="28"/>
              </w:rPr>
            </w:pPr>
            <w:r>
              <w:rPr>
                <w:b/>
                <w:i/>
                <w:sz w:val="28"/>
                <w:szCs w:val="28"/>
              </w:rPr>
              <w:t>50%</w:t>
            </w:r>
          </w:p>
        </w:tc>
        <w:tc>
          <w:tcPr>
            <w:tcW w:w="1802" w:type="dxa"/>
            <w:tcBorders>
              <w:right w:val="single" w:sz="4" w:space="0" w:color="auto"/>
            </w:tcBorders>
            <w:vAlign w:val="center"/>
          </w:tcPr>
          <w:p>
            <w:pPr>
              <w:jc w:val="center"/>
              <w:rPr>
                <w:b/>
                <w:i/>
                <w:sz w:val="28"/>
                <w:szCs w:val="28"/>
              </w:rPr>
            </w:pPr>
            <w:r>
              <w:rPr>
                <w:b/>
                <w:i/>
                <w:sz w:val="28"/>
                <w:szCs w:val="28"/>
              </w:rPr>
              <w:t>67%</w:t>
            </w:r>
          </w:p>
        </w:tc>
        <w:tc>
          <w:tcPr>
            <w:tcW w:w="1637" w:type="dxa"/>
            <w:tcBorders>
              <w:right w:val="single" w:sz="4" w:space="0" w:color="auto"/>
            </w:tcBorders>
            <w:vAlign w:val="center"/>
          </w:tcPr>
          <w:p>
            <w:pPr>
              <w:jc w:val="center"/>
              <w:rPr>
                <w:b/>
                <w:i/>
                <w:sz w:val="28"/>
                <w:szCs w:val="28"/>
              </w:rPr>
            </w:pPr>
            <w:r>
              <w:rPr>
                <w:b/>
                <w:i/>
                <w:sz w:val="28"/>
                <w:szCs w:val="28"/>
              </w:rPr>
              <w:t>33%</w:t>
            </w:r>
          </w:p>
        </w:tc>
      </w:tr>
      <w:tr>
        <w:trPr>
          <w:trHeight w:val="328"/>
        </w:trPr>
        <w:tc>
          <w:tcPr>
            <w:tcW w:w="1481" w:type="dxa"/>
            <w:vAlign w:val="center"/>
          </w:tcPr>
          <w:p>
            <w:pPr>
              <w:jc w:val="center"/>
              <w:rPr>
                <w:b/>
                <w:i/>
                <w:sz w:val="28"/>
                <w:szCs w:val="28"/>
              </w:rPr>
            </w:pPr>
            <w:r>
              <w:rPr>
                <w:b/>
                <w:i/>
                <w:sz w:val="28"/>
                <w:szCs w:val="28"/>
              </w:rPr>
              <w:t>SCIENCE</w:t>
            </w:r>
          </w:p>
        </w:tc>
        <w:tc>
          <w:tcPr>
            <w:tcW w:w="2313" w:type="dxa"/>
            <w:vAlign w:val="center"/>
          </w:tcPr>
          <w:p>
            <w:pPr>
              <w:jc w:val="center"/>
              <w:rPr>
                <w:b/>
                <w:i/>
                <w:sz w:val="28"/>
                <w:szCs w:val="28"/>
              </w:rPr>
            </w:pPr>
            <w:r>
              <w:rPr>
                <w:b/>
                <w:i/>
                <w:sz w:val="28"/>
                <w:szCs w:val="28"/>
              </w:rPr>
              <w:t>50%</w:t>
            </w:r>
          </w:p>
        </w:tc>
        <w:tc>
          <w:tcPr>
            <w:tcW w:w="2268" w:type="dxa"/>
            <w:tcBorders>
              <w:right w:val="single" w:sz="4" w:space="0" w:color="auto"/>
            </w:tcBorders>
            <w:vAlign w:val="center"/>
          </w:tcPr>
          <w:p>
            <w:pPr>
              <w:jc w:val="center"/>
              <w:rPr>
                <w:b/>
                <w:i/>
                <w:sz w:val="28"/>
                <w:szCs w:val="28"/>
              </w:rPr>
            </w:pPr>
            <w:r>
              <w:rPr>
                <w:b/>
                <w:i/>
                <w:sz w:val="28"/>
                <w:szCs w:val="28"/>
              </w:rPr>
              <w:t>50%</w:t>
            </w:r>
          </w:p>
        </w:tc>
        <w:tc>
          <w:tcPr>
            <w:tcW w:w="1802" w:type="dxa"/>
            <w:tcBorders>
              <w:right w:val="single" w:sz="4" w:space="0" w:color="auto"/>
            </w:tcBorders>
            <w:vAlign w:val="center"/>
          </w:tcPr>
          <w:p>
            <w:pPr>
              <w:jc w:val="center"/>
              <w:rPr>
                <w:b/>
                <w:i/>
                <w:sz w:val="28"/>
                <w:szCs w:val="28"/>
              </w:rPr>
            </w:pPr>
            <w:r>
              <w:rPr>
                <w:b/>
                <w:i/>
                <w:sz w:val="28"/>
                <w:szCs w:val="28"/>
              </w:rPr>
              <w:t>58%</w:t>
            </w:r>
          </w:p>
        </w:tc>
        <w:tc>
          <w:tcPr>
            <w:tcW w:w="1637" w:type="dxa"/>
            <w:tcBorders>
              <w:right w:val="single" w:sz="4" w:space="0" w:color="auto"/>
            </w:tcBorders>
            <w:vAlign w:val="center"/>
          </w:tcPr>
          <w:p>
            <w:pPr>
              <w:jc w:val="center"/>
              <w:rPr>
                <w:b/>
                <w:i/>
                <w:sz w:val="28"/>
                <w:szCs w:val="28"/>
              </w:rPr>
            </w:pPr>
            <w:r>
              <w:rPr>
                <w:b/>
                <w:i/>
                <w:sz w:val="28"/>
                <w:szCs w:val="28"/>
              </w:rPr>
              <w:t>42%</w:t>
            </w:r>
          </w:p>
        </w:tc>
      </w:tr>
    </w:tbl>
    <w:p>
      <w:pPr>
        <w:rPr>
          <w:b/>
          <w:i/>
        </w:rPr>
      </w:pPr>
    </w:p>
    <w:tbl>
      <w:tblPr>
        <w:tblStyle w:val="TableGrid"/>
        <w:tblW w:w="9522" w:type="dxa"/>
        <w:tblLook w:val="04A0" w:firstRow="1" w:lastRow="0" w:firstColumn="1" w:lastColumn="0" w:noHBand="0" w:noVBand="1"/>
      </w:tblPr>
      <w:tblGrid>
        <w:gridCol w:w="1496"/>
        <w:gridCol w:w="2272"/>
        <w:gridCol w:w="2344"/>
        <w:gridCol w:w="1705"/>
        <w:gridCol w:w="1705"/>
      </w:tblGrid>
      <w:tr>
        <w:trPr>
          <w:trHeight w:val="322"/>
        </w:trPr>
        <w:tc>
          <w:tcPr>
            <w:tcW w:w="9522" w:type="dxa"/>
            <w:gridSpan w:val="5"/>
            <w:vAlign w:val="center"/>
          </w:tcPr>
          <w:p>
            <w:pPr>
              <w:jc w:val="center"/>
              <w:rPr>
                <w:b/>
                <w:i/>
                <w:sz w:val="28"/>
                <w:szCs w:val="28"/>
              </w:rPr>
            </w:pPr>
            <w:r>
              <w:rPr>
                <w:b/>
                <w:i/>
                <w:sz w:val="28"/>
                <w:szCs w:val="28"/>
              </w:rPr>
              <w:t>KS4</w:t>
            </w:r>
          </w:p>
        </w:tc>
      </w:tr>
      <w:tr>
        <w:trPr>
          <w:trHeight w:val="680"/>
        </w:trPr>
        <w:tc>
          <w:tcPr>
            <w:tcW w:w="1496" w:type="dxa"/>
            <w:vAlign w:val="center"/>
          </w:tcPr>
          <w:p>
            <w:pPr>
              <w:jc w:val="center"/>
              <w:rPr>
                <w:b/>
                <w:i/>
                <w:sz w:val="28"/>
                <w:szCs w:val="28"/>
              </w:rPr>
            </w:pPr>
          </w:p>
        </w:tc>
        <w:tc>
          <w:tcPr>
            <w:tcW w:w="2272"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344" w:type="dxa"/>
            <w:vAlign w:val="center"/>
          </w:tcPr>
          <w:p>
            <w:pPr>
              <w:jc w:val="center"/>
              <w:rPr>
                <w:b/>
                <w:i/>
                <w:color w:val="0070C0"/>
                <w:sz w:val="28"/>
                <w:szCs w:val="28"/>
              </w:rPr>
            </w:pPr>
            <w:r>
              <w:rPr>
                <w:b/>
                <w:i/>
                <w:color w:val="0070C0"/>
                <w:sz w:val="28"/>
                <w:szCs w:val="28"/>
              </w:rPr>
              <w:t>Working Towards 20/21</w:t>
            </w:r>
          </w:p>
        </w:tc>
        <w:tc>
          <w:tcPr>
            <w:tcW w:w="1705"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705" w:type="dxa"/>
            <w:vAlign w:val="center"/>
          </w:tcPr>
          <w:p>
            <w:pPr>
              <w:jc w:val="center"/>
              <w:rPr>
                <w:b/>
                <w:i/>
                <w:sz w:val="28"/>
                <w:szCs w:val="28"/>
              </w:rPr>
            </w:pPr>
            <w:r>
              <w:rPr>
                <w:b/>
                <w:i/>
                <w:sz w:val="28"/>
                <w:szCs w:val="28"/>
              </w:rPr>
              <w:t>Working Towards 20/21</w:t>
            </w:r>
          </w:p>
        </w:tc>
      </w:tr>
      <w:tr>
        <w:trPr>
          <w:trHeight w:val="344"/>
        </w:trPr>
        <w:tc>
          <w:tcPr>
            <w:tcW w:w="1496" w:type="dxa"/>
            <w:vAlign w:val="center"/>
          </w:tcPr>
          <w:p>
            <w:pPr>
              <w:jc w:val="center"/>
              <w:rPr>
                <w:b/>
                <w:i/>
                <w:sz w:val="28"/>
                <w:szCs w:val="28"/>
              </w:rPr>
            </w:pPr>
            <w:r>
              <w:rPr>
                <w:b/>
                <w:i/>
                <w:sz w:val="28"/>
                <w:szCs w:val="28"/>
              </w:rPr>
              <w:t>ENGLISH</w:t>
            </w:r>
          </w:p>
        </w:tc>
        <w:tc>
          <w:tcPr>
            <w:tcW w:w="2272" w:type="dxa"/>
            <w:vAlign w:val="center"/>
          </w:tcPr>
          <w:p>
            <w:pPr>
              <w:jc w:val="center"/>
              <w:rPr>
                <w:b/>
                <w:i/>
                <w:sz w:val="28"/>
                <w:szCs w:val="28"/>
              </w:rPr>
            </w:pPr>
            <w:r>
              <w:rPr>
                <w:b/>
                <w:i/>
                <w:sz w:val="28"/>
                <w:szCs w:val="28"/>
              </w:rPr>
              <w:t>55%</w:t>
            </w:r>
          </w:p>
        </w:tc>
        <w:tc>
          <w:tcPr>
            <w:tcW w:w="2344" w:type="dxa"/>
            <w:vAlign w:val="center"/>
          </w:tcPr>
          <w:p>
            <w:pPr>
              <w:jc w:val="center"/>
              <w:rPr>
                <w:b/>
                <w:i/>
                <w:sz w:val="28"/>
                <w:szCs w:val="28"/>
              </w:rPr>
            </w:pPr>
            <w:r>
              <w:rPr>
                <w:b/>
                <w:i/>
                <w:sz w:val="28"/>
                <w:szCs w:val="28"/>
              </w:rPr>
              <w:t>45%</w:t>
            </w:r>
          </w:p>
        </w:tc>
        <w:tc>
          <w:tcPr>
            <w:tcW w:w="1705" w:type="dxa"/>
            <w:vAlign w:val="center"/>
          </w:tcPr>
          <w:p>
            <w:pPr>
              <w:jc w:val="center"/>
              <w:rPr>
                <w:b/>
                <w:i/>
                <w:sz w:val="28"/>
                <w:szCs w:val="28"/>
              </w:rPr>
            </w:pPr>
            <w:r>
              <w:rPr>
                <w:b/>
                <w:i/>
                <w:sz w:val="28"/>
                <w:szCs w:val="28"/>
              </w:rPr>
              <w:t>42%</w:t>
            </w:r>
          </w:p>
        </w:tc>
        <w:tc>
          <w:tcPr>
            <w:tcW w:w="1705" w:type="dxa"/>
            <w:vAlign w:val="center"/>
          </w:tcPr>
          <w:p>
            <w:pPr>
              <w:jc w:val="center"/>
              <w:rPr>
                <w:b/>
                <w:i/>
                <w:sz w:val="28"/>
                <w:szCs w:val="28"/>
              </w:rPr>
            </w:pPr>
            <w:r>
              <w:rPr>
                <w:b/>
                <w:i/>
                <w:sz w:val="28"/>
                <w:szCs w:val="28"/>
              </w:rPr>
              <w:t>58%</w:t>
            </w:r>
          </w:p>
        </w:tc>
      </w:tr>
      <w:tr>
        <w:trPr>
          <w:trHeight w:val="322"/>
        </w:trPr>
        <w:tc>
          <w:tcPr>
            <w:tcW w:w="1496" w:type="dxa"/>
            <w:vAlign w:val="center"/>
          </w:tcPr>
          <w:p>
            <w:pPr>
              <w:jc w:val="center"/>
              <w:rPr>
                <w:b/>
                <w:i/>
                <w:sz w:val="28"/>
                <w:szCs w:val="28"/>
              </w:rPr>
            </w:pPr>
            <w:r>
              <w:rPr>
                <w:b/>
                <w:i/>
                <w:sz w:val="28"/>
                <w:szCs w:val="28"/>
              </w:rPr>
              <w:t>MATHS</w:t>
            </w:r>
          </w:p>
        </w:tc>
        <w:tc>
          <w:tcPr>
            <w:tcW w:w="2272" w:type="dxa"/>
            <w:vAlign w:val="center"/>
          </w:tcPr>
          <w:p>
            <w:pPr>
              <w:jc w:val="center"/>
              <w:rPr>
                <w:b/>
                <w:i/>
                <w:sz w:val="28"/>
                <w:szCs w:val="28"/>
              </w:rPr>
            </w:pPr>
            <w:r>
              <w:rPr>
                <w:b/>
                <w:i/>
                <w:sz w:val="28"/>
                <w:szCs w:val="28"/>
              </w:rPr>
              <w:t>55%</w:t>
            </w:r>
          </w:p>
        </w:tc>
        <w:tc>
          <w:tcPr>
            <w:tcW w:w="2344" w:type="dxa"/>
            <w:vAlign w:val="center"/>
          </w:tcPr>
          <w:p>
            <w:pPr>
              <w:jc w:val="center"/>
              <w:rPr>
                <w:b/>
                <w:i/>
                <w:sz w:val="28"/>
                <w:szCs w:val="28"/>
              </w:rPr>
            </w:pPr>
            <w:r>
              <w:rPr>
                <w:b/>
                <w:i/>
                <w:sz w:val="28"/>
                <w:szCs w:val="28"/>
              </w:rPr>
              <w:t>45%</w:t>
            </w:r>
          </w:p>
        </w:tc>
        <w:tc>
          <w:tcPr>
            <w:tcW w:w="1705" w:type="dxa"/>
            <w:vAlign w:val="center"/>
          </w:tcPr>
          <w:p>
            <w:pPr>
              <w:jc w:val="center"/>
              <w:rPr>
                <w:b/>
                <w:i/>
                <w:sz w:val="28"/>
                <w:szCs w:val="28"/>
              </w:rPr>
            </w:pPr>
            <w:r>
              <w:rPr>
                <w:b/>
                <w:i/>
                <w:sz w:val="28"/>
                <w:szCs w:val="28"/>
              </w:rPr>
              <w:t>57%</w:t>
            </w:r>
          </w:p>
        </w:tc>
        <w:tc>
          <w:tcPr>
            <w:tcW w:w="1705" w:type="dxa"/>
            <w:vAlign w:val="center"/>
          </w:tcPr>
          <w:p>
            <w:pPr>
              <w:jc w:val="center"/>
              <w:rPr>
                <w:b/>
                <w:i/>
                <w:sz w:val="28"/>
                <w:szCs w:val="28"/>
              </w:rPr>
            </w:pPr>
            <w:r>
              <w:rPr>
                <w:b/>
                <w:i/>
                <w:sz w:val="28"/>
                <w:szCs w:val="28"/>
              </w:rPr>
              <w:t>43%</w:t>
            </w:r>
          </w:p>
        </w:tc>
      </w:tr>
      <w:tr>
        <w:trPr>
          <w:trHeight w:val="344"/>
        </w:trPr>
        <w:tc>
          <w:tcPr>
            <w:tcW w:w="1496" w:type="dxa"/>
            <w:vAlign w:val="center"/>
          </w:tcPr>
          <w:p>
            <w:pPr>
              <w:jc w:val="center"/>
              <w:rPr>
                <w:b/>
                <w:i/>
                <w:sz w:val="28"/>
                <w:szCs w:val="28"/>
              </w:rPr>
            </w:pPr>
            <w:r>
              <w:rPr>
                <w:b/>
                <w:i/>
                <w:sz w:val="28"/>
                <w:szCs w:val="28"/>
              </w:rPr>
              <w:t>SCIENCE</w:t>
            </w:r>
          </w:p>
        </w:tc>
        <w:tc>
          <w:tcPr>
            <w:tcW w:w="2272" w:type="dxa"/>
            <w:vAlign w:val="center"/>
          </w:tcPr>
          <w:p>
            <w:pPr>
              <w:jc w:val="center"/>
              <w:rPr>
                <w:b/>
                <w:i/>
                <w:sz w:val="28"/>
                <w:szCs w:val="28"/>
              </w:rPr>
            </w:pPr>
            <w:r>
              <w:rPr>
                <w:b/>
                <w:i/>
                <w:sz w:val="28"/>
                <w:szCs w:val="28"/>
              </w:rPr>
              <w:t>50%</w:t>
            </w:r>
          </w:p>
        </w:tc>
        <w:tc>
          <w:tcPr>
            <w:tcW w:w="2344" w:type="dxa"/>
            <w:vAlign w:val="center"/>
          </w:tcPr>
          <w:p>
            <w:pPr>
              <w:jc w:val="center"/>
              <w:rPr>
                <w:b/>
                <w:i/>
                <w:sz w:val="28"/>
                <w:szCs w:val="28"/>
              </w:rPr>
            </w:pPr>
            <w:r>
              <w:rPr>
                <w:b/>
                <w:i/>
                <w:sz w:val="28"/>
                <w:szCs w:val="28"/>
              </w:rPr>
              <w:t>50%</w:t>
            </w:r>
          </w:p>
        </w:tc>
        <w:tc>
          <w:tcPr>
            <w:tcW w:w="1705" w:type="dxa"/>
            <w:vAlign w:val="center"/>
          </w:tcPr>
          <w:p>
            <w:pPr>
              <w:jc w:val="center"/>
              <w:rPr>
                <w:b/>
                <w:i/>
                <w:sz w:val="28"/>
                <w:szCs w:val="28"/>
              </w:rPr>
            </w:pPr>
            <w:r>
              <w:rPr>
                <w:b/>
                <w:i/>
                <w:sz w:val="28"/>
                <w:szCs w:val="28"/>
              </w:rPr>
              <w:t>36%</w:t>
            </w:r>
          </w:p>
        </w:tc>
        <w:tc>
          <w:tcPr>
            <w:tcW w:w="1705" w:type="dxa"/>
            <w:vAlign w:val="center"/>
          </w:tcPr>
          <w:p>
            <w:pPr>
              <w:jc w:val="center"/>
              <w:rPr>
                <w:b/>
                <w:i/>
                <w:sz w:val="28"/>
                <w:szCs w:val="28"/>
              </w:rPr>
            </w:pPr>
            <w:r>
              <w:rPr>
                <w:b/>
                <w:i/>
                <w:sz w:val="28"/>
                <w:szCs w:val="28"/>
              </w:rPr>
              <w:t>64%</w:t>
            </w:r>
          </w:p>
        </w:tc>
      </w:tr>
    </w:tbl>
    <w:p>
      <w:pPr>
        <w:rPr>
          <w:b/>
          <w:i/>
        </w:rPr>
      </w:pPr>
    </w:p>
    <w:tbl>
      <w:tblPr>
        <w:tblStyle w:val="TableGrid"/>
        <w:tblW w:w="9544" w:type="dxa"/>
        <w:tblLook w:val="04A0" w:firstRow="1" w:lastRow="0" w:firstColumn="1" w:lastColumn="0" w:noHBand="0" w:noVBand="1"/>
      </w:tblPr>
      <w:tblGrid>
        <w:gridCol w:w="1499"/>
        <w:gridCol w:w="2277"/>
        <w:gridCol w:w="2349"/>
        <w:gridCol w:w="1709"/>
        <w:gridCol w:w="1710"/>
      </w:tblGrid>
      <w:tr>
        <w:trPr>
          <w:trHeight w:val="319"/>
        </w:trPr>
        <w:tc>
          <w:tcPr>
            <w:tcW w:w="9544" w:type="dxa"/>
            <w:gridSpan w:val="5"/>
            <w:vAlign w:val="center"/>
          </w:tcPr>
          <w:p>
            <w:pPr>
              <w:jc w:val="center"/>
              <w:rPr>
                <w:b/>
                <w:i/>
                <w:sz w:val="28"/>
                <w:szCs w:val="28"/>
              </w:rPr>
            </w:pPr>
            <w:r>
              <w:rPr>
                <w:b/>
                <w:i/>
                <w:sz w:val="28"/>
                <w:szCs w:val="28"/>
              </w:rPr>
              <w:t>Outreach</w:t>
            </w:r>
          </w:p>
        </w:tc>
      </w:tr>
      <w:tr>
        <w:trPr>
          <w:trHeight w:val="674"/>
        </w:trPr>
        <w:tc>
          <w:tcPr>
            <w:tcW w:w="1499" w:type="dxa"/>
            <w:vAlign w:val="center"/>
          </w:tcPr>
          <w:p>
            <w:pPr>
              <w:jc w:val="center"/>
              <w:rPr>
                <w:b/>
                <w:i/>
                <w:sz w:val="28"/>
                <w:szCs w:val="28"/>
              </w:rPr>
            </w:pPr>
          </w:p>
        </w:tc>
        <w:tc>
          <w:tcPr>
            <w:tcW w:w="2277"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349" w:type="dxa"/>
            <w:vAlign w:val="center"/>
          </w:tcPr>
          <w:p>
            <w:pPr>
              <w:jc w:val="center"/>
              <w:rPr>
                <w:b/>
                <w:i/>
                <w:color w:val="0070C0"/>
                <w:sz w:val="28"/>
                <w:szCs w:val="28"/>
              </w:rPr>
            </w:pPr>
            <w:r>
              <w:rPr>
                <w:b/>
                <w:i/>
                <w:color w:val="0070C0"/>
                <w:sz w:val="28"/>
                <w:szCs w:val="28"/>
              </w:rPr>
              <w:t>Working Towards 21/22</w:t>
            </w:r>
          </w:p>
        </w:tc>
        <w:tc>
          <w:tcPr>
            <w:tcW w:w="1709"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710" w:type="dxa"/>
            <w:vAlign w:val="center"/>
          </w:tcPr>
          <w:p>
            <w:pPr>
              <w:jc w:val="center"/>
              <w:rPr>
                <w:b/>
                <w:i/>
                <w:sz w:val="28"/>
                <w:szCs w:val="28"/>
              </w:rPr>
            </w:pPr>
            <w:r>
              <w:rPr>
                <w:b/>
                <w:i/>
                <w:sz w:val="28"/>
                <w:szCs w:val="28"/>
              </w:rPr>
              <w:t>Working Towards 20/21</w:t>
            </w:r>
          </w:p>
        </w:tc>
      </w:tr>
      <w:tr>
        <w:trPr>
          <w:trHeight w:val="341"/>
        </w:trPr>
        <w:tc>
          <w:tcPr>
            <w:tcW w:w="1499" w:type="dxa"/>
            <w:vAlign w:val="center"/>
          </w:tcPr>
          <w:p>
            <w:pPr>
              <w:jc w:val="center"/>
              <w:rPr>
                <w:b/>
                <w:i/>
                <w:sz w:val="28"/>
                <w:szCs w:val="28"/>
              </w:rPr>
            </w:pPr>
            <w:r>
              <w:rPr>
                <w:b/>
                <w:i/>
                <w:sz w:val="28"/>
                <w:szCs w:val="28"/>
              </w:rPr>
              <w:t>ENGLISH</w:t>
            </w:r>
          </w:p>
        </w:tc>
        <w:tc>
          <w:tcPr>
            <w:tcW w:w="2277" w:type="dxa"/>
            <w:vAlign w:val="center"/>
          </w:tcPr>
          <w:p>
            <w:pPr>
              <w:jc w:val="center"/>
              <w:rPr>
                <w:b/>
                <w:i/>
                <w:sz w:val="28"/>
                <w:szCs w:val="28"/>
              </w:rPr>
            </w:pPr>
            <w:r>
              <w:rPr>
                <w:b/>
                <w:i/>
                <w:sz w:val="28"/>
                <w:szCs w:val="28"/>
              </w:rPr>
              <w:t>0%</w:t>
            </w:r>
          </w:p>
        </w:tc>
        <w:tc>
          <w:tcPr>
            <w:tcW w:w="2349" w:type="dxa"/>
            <w:vAlign w:val="center"/>
          </w:tcPr>
          <w:p>
            <w:pPr>
              <w:jc w:val="center"/>
              <w:rPr>
                <w:b/>
                <w:i/>
                <w:sz w:val="28"/>
                <w:szCs w:val="28"/>
              </w:rPr>
            </w:pPr>
            <w:r>
              <w:rPr>
                <w:b/>
                <w:i/>
                <w:sz w:val="28"/>
                <w:szCs w:val="28"/>
              </w:rPr>
              <w:t>100%</w:t>
            </w:r>
          </w:p>
        </w:tc>
        <w:tc>
          <w:tcPr>
            <w:tcW w:w="1709" w:type="dxa"/>
            <w:vAlign w:val="center"/>
          </w:tcPr>
          <w:p>
            <w:pPr>
              <w:jc w:val="center"/>
              <w:rPr>
                <w:b/>
                <w:i/>
                <w:sz w:val="28"/>
                <w:szCs w:val="28"/>
              </w:rPr>
            </w:pPr>
            <w:r>
              <w:rPr>
                <w:b/>
                <w:i/>
                <w:sz w:val="28"/>
                <w:szCs w:val="28"/>
              </w:rPr>
              <w:t>0%</w:t>
            </w:r>
          </w:p>
        </w:tc>
        <w:tc>
          <w:tcPr>
            <w:tcW w:w="1710" w:type="dxa"/>
            <w:vAlign w:val="center"/>
          </w:tcPr>
          <w:p>
            <w:pPr>
              <w:jc w:val="center"/>
              <w:rPr>
                <w:b/>
                <w:i/>
                <w:sz w:val="28"/>
                <w:szCs w:val="28"/>
              </w:rPr>
            </w:pPr>
            <w:r>
              <w:rPr>
                <w:b/>
                <w:i/>
                <w:sz w:val="28"/>
                <w:szCs w:val="28"/>
              </w:rPr>
              <w:t>100%</w:t>
            </w:r>
          </w:p>
        </w:tc>
      </w:tr>
      <w:tr>
        <w:trPr>
          <w:trHeight w:val="319"/>
        </w:trPr>
        <w:tc>
          <w:tcPr>
            <w:tcW w:w="1499" w:type="dxa"/>
            <w:vAlign w:val="center"/>
          </w:tcPr>
          <w:p>
            <w:pPr>
              <w:jc w:val="center"/>
              <w:rPr>
                <w:b/>
                <w:i/>
                <w:sz w:val="28"/>
                <w:szCs w:val="28"/>
              </w:rPr>
            </w:pPr>
            <w:r>
              <w:rPr>
                <w:b/>
                <w:i/>
                <w:sz w:val="28"/>
                <w:szCs w:val="28"/>
              </w:rPr>
              <w:t>MATHS</w:t>
            </w:r>
          </w:p>
        </w:tc>
        <w:tc>
          <w:tcPr>
            <w:tcW w:w="2277" w:type="dxa"/>
            <w:vAlign w:val="center"/>
          </w:tcPr>
          <w:p>
            <w:pPr>
              <w:jc w:val="center"/>
              <w:rPr>
                <w:b/>
                <w:i/>
                <w:sz w:val="28"/>
                <w:szCs w:val="28"/>
              </w:rPr>
            </w:pPr>
            <w:r>
              <w:rPr>
                <w:b/>
                <w:i/>
                <w:sz w:val="28"/>
                <w:szCs w:val="28"/>
              </w:rPr>
              <w:t>0%</w:t>
            </w:r>
          </w:p>
        </w:tc>
        <w:tc>
          <w:tcPr>
            <w:tcW w:w="2349" w:type="dxa"/>
            <w:vAlign w:val="center"/>
          </w:tcPr>
          <w:p>
            <w:pPr>
              <w:jc w:val="center"/>
              <w:rPr>
                <w:b/>
                <w:i/>
                <w:sz w:val="28"/>
                <w:szCs w:val="28"/>
              </w:rPr>
            </w:pPr>
            <w:r>
              <w:rPr>
                <w:b/>
                <w:i/>
                <w:sz w:val="28"/>
                <w:szCs w:val="28"/>
              </w:rPr>
              <w:t>100%</w:t>
            </w:r>
          </w:p>
        </w:tc>
        <w:tc>
          <w:tcPr>
            <w:tcW w:w="1709" w:type="dxa"/>
            <w:vAlign w:val="center"/>
          </w:tcPr>
          <w:p>
            <w:pPr>
              <w:jc w:val="center"/>
              <w:rPr>
                <w:b/>
                <w:i/>
                <w:sz w:val="28"/>
                <w:szCs w:val="28"/>
              </w:rPr>
            </w:pPr>
            <w:r>
              <w:rPr>
                <w:b/>
                <w:i/>
                <w:sz w:val="28"/>
                <w:szCs w:val="28"/>
              </w:rPr>
              <w:t>0%</w:t>
            </w:r>
          </w:p>
        </w:tc>
        <w:tc>
          <w:tcPr>
            <w:tcW w:w="1710" w:type="dxa"/>
            <w:vAlign w:val="center"/>
          </w:tcPr>
          <w:p>
            <w:pPr>
              <w:jc w:val="center"/>
              <w:rPr>
                <w:b/>
                <w:i/>
                <w:sz w:val="28"/>
                <w:szCs w:val="28"/>
              </w:rPr>
            </w:pPr>
            <w:r>
              <w:rPr>
                <w:b/>
                <w:i/>
                <w:sz w:val="28"/>
                <w:szCs w:val="28"/>
              </w:rPr>
              <w:t>100%</w:t>
            </w:r>
          </w:p>
        </w:tc>
      </w:tr>
      <w:tr>
        <w:trPr>
          <w:trHeight w:val="341"/>
        </w:trPr>
        <w:tc>
          <w:tcPr>
            <w:tcW w:w="1499" w:type="dxa"/>
            <w:vAlign w:val="center"/>
          </w:tcPr>
          <w:p>
            <w:pPr>
              <w:jc w:val="center"/>
              <w:rPr>
                <w:b/>
                <w:i/>
                <w:sz w:val="28"/>
                <w:szCs w:val="28"/>
              </w:rPr>
            </w:pPr>
            <w:r>
              <w:rPr>
                <w:b/>
                <w:i/>
                <w:sz w:val="28"/>
                <w:szCs w:val="28"/>
              </w:rPr>
              <w:t>SCIENCE</w:t>
            </w:r>
          </w:p>
        </w:tc>
        <w:tc>
          <w:tcPr>
            <w:tcW w:w="2277" w:type="dxa"/>
            <w:vAlign w:val="center"/>
          </w:tcPr>
          <w:p>
            <w:pPr>
              <w:jc w:val="center"/>
              <w:rPr>
                <w:b/>
                <w:i/>
                <w:sz w:val="28"/>
                <w:szCs w:val="28"/>
              </w:rPr>
            </w:pPr>
            <w:r>
              <w:rPr>
                <w:b/>
                <w:i/>
                <w:sz w:val="28"/>
                <w:szCs w:val="28"/>
              </w:rPr>
              <w:t>0%</w:t>
            </w:r>
          </w:p>
        </w:tc>
        <w:tc>
          <w:tcPr>
            <w:tcW w:w="2349" w:type="dxa"/>
            <w:vAlign w:val="center"/>
          </w:tcPr>
          <w:p>
            <w:pPr>
              <w:jc w:val="center"/>
              <w:rPr>
                <w:b/>
                <w:i/>
                <w:sz w:val="28"/>
                <w:szCs w:val="28"/>
              </w:rPr>
            </w:pPr>
            <w:r>
              <w:rPr>
                <w:b/>
                <w:i/>
                <w:sz w:val="28"/>
                <w:szCs w:val="28"/>
              </w:rPr>
              <w:t>100%</w:t>
            </w:r>
          </w:p>
        </w:tc>
        <w:tc>
          <w:tcPr>
            <w:tcW w:w="1709" w:type="dxa"/>
            <w:vAlign w:val="center"/>
          </w:tcPr>
          <w:p>
            <w:pPr>
              <w:jc w:val="center"/>
              <w:rPr>
                <w:b/>
                <w:i/>
                <w:sz w:val="28"/>
                <w:szCs w:val="28"/>
              </w:rPr>
            </w:pPr>
            <w:r>
              <w:rPr>
                <w:b/>
                <w:i/>
                <w:sz w:val="28"/>
                <w:szCs w:val="28"/>
              </w:rPr>
              <w:t>0%</w:t>
            </w:r>
          </w:p>
        </w:tc>
        <w:tc>
          <w:tcPr>
            <w:tcW w:w="1710" w:type="dxa"/>
            <w:vAlign w:val="center"/>
          </w:tcPr>
          <w:p>
            <w:pPr>
              <w:jc w:val="center"/>
              <w:rPr>
                <w:b/>
                <w:i/>
                <w:sz w:val="28"/>
                <w:szCs w:val="28"/>
              </w:rPr>
            </w:pPr>
            <w:r>
              <w:rPr>
                <w:b/>
                <w:i/>
                <w:sz w:val="28"/>
                <w:szCs w:val="28"/>
              </w:rPr>
              <w:t>100%</w:t>
            </w:r>
          </w:p>
        </w:tc>
      </w:tr>
    </w:tbl>
    <w:p>
      <w:pPr>
        <w:rPr>
          <w:b/>
          <w:i/>
        </w:rPr>
      </w:pPr>
    </w:p>
    <w:p>
      <w:pPr>
        <w:rPr>
          <w:b/>
          <w:i/>
        </w:rPr>
      </w:pPr>
    </w:p>
    <w:p>
      <w:pPr>
        <w:rPr>
          <w:b/>
          <w:i/>
        </w:rPr>
      </w:pPr>
    </w:p>
    <w:p>
      <w:pPr>
        <w:rPr>
          <w:b/>
          <w:i/>
        </w:rPr>
      </w:pPr>
    </w:p>
    <w:p>
      <w:pPr>
        <w:pStyle w:val="Heading3"/>
        <w:rPr>
          <w:rFonts w:asciiTheme="minorHAnsi" w:hAnsiTheme="minorHAnsi"/>
          <w:sz w:val="32"/>
          <w:szCs w:val="32"/>
        </w:rPr>
      </w:pPr>
      <w:bookmarkStart w:id="4" w:name="_Toc57719797"/>
      <w:bookmarkStart w:id="5" w:name="_Toc115268622"/>
      <w:r>
        <w:rPr>
          <w:rFonts w:asciiTheme="minorHAnsi" w:hAnsiTheme="minorHAnsi"/>
          <w:sz w:val="32"/>
          <w:szCs w:val="32"/>
        </w:rPr>
        <w:t>Headline Progress data – All Subjects across Key Stages</w:t>
      </w:r>
      <w:bookmarkEnd w:id="4"/>
      <w:bookmarkEnd w:id="5"/>
    </w:p>
    <w:tbl>
      <w:tblPr>
        <w:tblStyle w:val="TableGrid"/>
        <w:tblpPr w:leftFromText="180" w:rightFromText="180" w:vertAnchor="text" w:horzAnchor="margin" w:tblpY="282"/>
        <w:tblW w:w="0" w:type="auto"/>
        <w:tblLayout w:type="fixed"/>
        <w:tblLook w:val="04A0" w:firstRow="1" w:lastRow="0" w:firstColumn="1" w:lastColumn="0" w:noHBand="0" w:noVBand="1"/>
      </w:tblPr>
      <w:tblGrid>
        <w:gridCol w:w="1524"/>
        <w:gridCol w:w="711"/>
        <w:gridCol w:w="708"/>
        <w:gridCol w:w="709"/>
        <w:gridCol w:w="709"/>
        <w:gridCol w:w="709"/>
        <w:gridCol w:w="736"/>
        <w:gridCol w:w="823"/>
        <w:gridCol w:w="709"/>
        <w:gridCol w:w="708"/>
        <w:gridCol w:w="709"/>
      </w:tblGrid>
      <w:tr>
        <w:trPr>
          <w:trHeight w:val="624"/>
        </w:trPr>
        <w:tc>
          <w:tcPr>
            <w:tcW w:w="4361" w:type="dxa"/>
            <w:gridSpan w:val="5"/>
            <w:vAlign w:val="center"/>
          </w:tcPr>
          <w:p>
            <w:pPr>
              <w:jc w:val="center"/>
              <w:rPr>
                <w:b/>
                <w:i/>
                <w:sz w:val="32"/>
                <w:szCs w:val="32"/>
              </w:rPr>
            </w:pPr>
            <w:r>
              <w:rPr>
                <w:b/>
                <w:i/>
                <w:sz w:val="32"/>
                <w:szCs w:val="32"/>
              </w:rPr>
              <w:t>% of Progress for all subjects accessed- Whole School</w:t>
            </w:r>
          </w:p>
        </w:tc>
        <w:tc>
          <w:tcPr>
            <w:tcW w:w="4394" w:type="dxa"/>
            <w:gridSpan w:val="6"/>
          </w:tcPr>
          <w:p>
            <w:pPr>
              <w:jc w:val="center"/>
              <w:rPr>
                <w:b/>
                <w:i/>
                <w:sz w:val="32"/>
                <w:szCs w:val="32"/>
              </w:rPr>
            </w:pPr>
            <w:r>
              <w:rPr>
                <w:b/>
                <w:i/>
                <w:sz w:val="32"/>
                <w:szCs w:val="32"/>
              </w:rPr>
              <w:t>Key Stages</w:t>
            </w:r>
          </w:p>
        </w:tc>
      </w:tr>
      <w:tr>
        <w:trPr>
          <w:cantSplit/>
          <w:trHeight w:val="1134"/>
        </w:trPr>
        <w:tc>
          <w:tcPr>
            <w:tcW w:w="1524" w:type="dxa"/>
            <w:vAlign w:val="center"/>
          </w:tcPr>
          <w:p>
            <w:pPr>
              <w:jc w:val="center"/>
              <w:rPr>
                <w:b/>
                <w:i/>
                <w:sz w:val="28"/>
                <w:szCs w:val="28"/>
              </w:rPr>
            </w:pPr>
            <w:r>
              <w:rPr>
                <w:b/>
                <w:i/>
                <w:sz w:val="28"/>
                <w:szCs w:val="28"/>
              </w:rPr>
              <w:t>Subject</w:t>
            </w:r>
          </w:p>
          <w:p>
            <w:pPr>
              <w:jc w:val="center"/>
              <w:rPr>
                <w:b/>
                <w:i/>
                <w:sz w:val="28"/>
                <w:szCs w:val="28"/>
              </w:rPr>
            </w:pPr>
          </w:p>
          <w:p>
            <w:pPr>
              <w:jc w:val="center"/>
              <w:rPr>
                <w:b/>
                <w:i/>
                <w:sz w:val="28"/>
                <w:szCs w:val="28"/>
              </w:rPr>
            </w:pPr>
          </w:p>
          <w:p>
            <w:pPr>
              <w:jc w:val="center"/>
              <w:rPr>
                <w:b/>
                <w:i/>
                <w:sz w:val="28"/>
                <w:szCs w:val="28"/>
              </w:rPr>
            </w:pPr>
          </w:p>
        </w:tc>
        <w:tc>
          <w:tcPr>
            <w:tcW w:w="711" w:type="dxa"/>
            <w:textDirection w:val="btLr"/>
            <w:vAlign w:val="center"/>
          </w:tcPr>
          <w:p>
            <w:pPr>
              <w:ind w:left="113" w:right="113"/>
              <w:jc w:val="center"/>
              <w:rPr>
                <w:b/>
                <w:i/>
                <w:color w:val="002060"/>
                <w:sz w:val="20"/>
                <w:szCs w:val="20"/>
              </w:rPr>
            </w:pPr>
            <w:r>
              <w:rPr>
                <w:b/>
                <w:i/>
                <w:color w:val="002060"/>
                <w:sz w:val="20"/>
                <w:szCs w:val="20"/>
              </w:rPr>
              <w:t>Exceeding/</w:t>
            </w:r>
          </w:p>
          <w:p>
            <w:pPr>
              <w:ind w:left="113" w:right="113"/>
              <w:jc w:val="center"/>
              <w:rPr>
                <w:b/>
                <w:i/>
                <w:color w:val="002060"/>
                <w:sz w:val="20"/>
                <w:szCs w:val="20"/>
              </w:rPr>
            </w:pPr>
            <w:r>
              <w:rPr>
                <w:b/>
                <w:i/>
                <w:color w:val="002060"/>
                <w:sz w:val="20"/>
                <w:szCs w:val="20"/>
              </w:rPr>
              <w:t>On Target</w:t>
            </w:r>
          </w:p>
          <w:p>
            <w:pPr>
              <w:ind w:left="113" w:right="113"/>
              <w:jc w:val="center"/>
              <w:rPr>
                <w:b/>
                <w:i/>
                <w:color w:val="002060"/>
                <w:sz w:val="20"/>
                <w:szCs w:val="20"/>
              </w:rPr>
            </w:pPr>
            <w:r>
              <w:rPr>
                <w:b/>
                <w:i/>
                <w:color w:val="002060"/>
                <w:sz w:val="20"/>
                <w:szCs w:val="20"/>
              </w:rPr>
              <w:t>(21/22)</w:t>
            </w:r>
          </w:p>
        </w:tc>
        <w:tc>
          <w:tcPr>
            <w:tcW w:w="708" w:type="dxa"/>
            <w:textDirection w:val="btLr"/>
            <w:vAlign w:val="center"/>
          </w:tcPr>
          <w:p>
            <w:pPr>
              <w:ind w:left="113" w:right="113"/>
              <w:jc w:val="center"/>
              <w:rPr>
                <w:b/>
                <w:i/>
                <w:color w:val="002060"/>
                <w:sz w:val="20"/>
                <w:szCs w:val="20"/>
              </w:rPr>
            </w:pPr>
            <w:r>
              <w:rPr>
                <w:b/>
                <w:i/>
                <w:color w:val="002060"/>
                <w:sz w:val="20"/>
                <w:szCs w:val="20"/>
              </w:rPr>
              <w:t>Working Towards</w:t>
            </w:r>
          </w:p>
          <w:p>
            <w:pPr>
              <w:ind w:left="113" w:right="113"/>
              <w:jc w:val="center"/>
              <w:rPr>
                <w:b/>
                <w:i/>
                <w:color w:val="002060"/>
                <w:sz w:val="20"/>
                <w:szCs w:val="20"/>
              </w:rPr>
            </w:pPr>
            <w:r>
              <w:rPr>
                <w:b/>
                <w:i/>
                <w:color w:val="002060"/>
                <w:sz w:val="20"/>
                <w:szCs w:val="20"/>
              </w:rPr>
              <w:t>(21/22)</w:t>
            </w:r>
          </w:p>
        </w:tc>
        <w:tc>
          <w:tcPr>
            <w:tcW w:w="709" w:type="dxa"/>
            <w:textDirection w:val="btLr"/>
            <w:vAlign w:val="center"/>
          </w:tcPr>
          <w:p>
            <w:pPr>
              <w:ind w:left="113" w:right="113"/>
              <w:jc w:val="center"/>
              <w:rPr>
                <w:b/>
                <w:i/>
                <w:sz w:val="20"/>
                <w:szCs w:val="20"/>
              </w:rPr>
            </w:pPr>
            <w:r>
              <w:rPr>
                <w:b/>
                <w:i/>
                <w:sz w:val="20"/>
                <w:szCs w:val="20"/>
              </w:rPr>
              <w:t>Exceeding/</w:t>
            </w:r>
          </w:p>
          <w:p>
            <w:pPr>
              <w:ind w:left="113" w:right="113"/>
              <w:jc w:val="center"/>
              <w:rPr>
                <w:b/>
                <w:i/>
                <w:sz w:val="20"/>
                <w:szCs w:val="20"/>
              </w:rPr>
            </w:pPr>
            <w:r>
              <w:rPr>
                <w:b/>
                <w:i/>
                <w:sz w:val="20"/>
                <w:szCs w:val="20"/>
              </w:rPr>
              <w:t>On Target</w:t>
            </w:r>
          </w:p>
          <w:p>
            <w:pPr>
              <w:ind w:left="113" w:right="113"/>
              <w:jc w:val="center"/>
              <w:rPr>
                <w:b/>
                <w:i/>
                <w:sz w:val="20"/>
                <w:szCs w:val="20"/>
              </w:rPr>
            </w:pPr>
            <w:r>
              <w:rPr>
                <w:b/>
                <w:i/>
                <w:sz w:val="20"/>
                <w:szCs w:val="20"/>
              </w:rPr>
              <w:t>(20/21)</w:t>
            </w:r>
          </w:p>
        </w:tc>
        <w:tc>
          <w:tcPr>
            <w:tcW w:w="709" w:type="dxa"/>
            <w:tcBorders>
              <w:right w:val="single" w:sz="12" w:space="0" w:color="auto"/>
            </w:tcBorders>
            <w:textDirection w:val="btLr"/>
            <w:vAlign w:val="center"/>
          </w:tcPr>
          <w:p>
            <w:pPr>
              <w:ind w:left="113" w:right="113"/>
              <w:jc w:val="center"/>
              <w:rPr>
                <w:b/>
                <w:i/>
                <w:sz w:val="20"/>
                <w:szCs w:val="20"/>
              </w:rPr>
            </w:pPr>
            <w:r>
              <w:rPr>
                <w:b/>
                <w:i/>
                <w:sz w:val="20"/>
                <w:szCs w:val="20"/>
              </w:rPr>
              <w:t>Working Towards</w:t>
            </w:r>
          </w:p>
          <w:p>
            <w:pPr>
              <w:ind w:left="113" w:right="113"/>
              <w:jc w:val="center"/>
              <w:rPr>
                <w:b/>
                <w:i/>
                <w:sz w:val="20"/>
                <w:szCs w:val="20"/>
              </w:rPr>
            </w:pPr>
            <w:r>
              <w:rPr>
                <w:b/>
                <w:i/>
                <w:sz w:val="20"/>
                <w:szCs w:val="20"/>
              </w:rPr>
              <w:t>(20/21)</w:t>
            </w:r>
          </w:p>
        </w:tc>
        <w:tc>
          <w:tcPr>
            <w:tcW w:w="709" w:type="dxa"/>
            <w:tcBorders>
              <w:left w:val="single" w:sz="12" w:space="0" w:color="auto"/>
            </w:tcBorders>
          </w:tcPr>
          <w:p>
            <w:pPr>
              <w:jc w:val="center"/>
              <w:rPr>
                <w:b/>
                <w:i/>
                <w:color w:val="002060"/>
                <w:sz w:val="24"/>
                <w:szCs w:val="24"/>
              </w:rPr>
            </w:pPr>
            <w:r>
              <w:rPr>
                <w:b/>
                <w:i/>
                <w:color w:val="002060"/>
                <w:sz w:val="24"/>
                <w:szCs w:val="24"/>
              </w:rPr>
              <w:t>KS2</w:t>
            </w:r>
          </w:p>
          <w:p>
            <w:pPr>
              <w:jc w:val="center"/>
              <w:rPr>
                <w:b/>
                <w:i/>
                <w:color w:val="002060"/>
                <w:sz w:val="24"/>
                <w:szCs w:val="24"/>
              </w:rPr>
            </w:pPr>
            <w:r>
              <w:rPr>
                <w:b/>
                <w:i/>
                <w:color w:val="002060"/>
                <w:sz w:val="24"/>
                <w:szCs w:val="24"/>
              </w:rPr>
              <w:t>(21/21)</w:t>
            </w:r>
          </w:p>
        </w:tc>
        <w:tc>
          <w:tcPr>
            <w:tcW w:w="736" w:type="dxa"/>
          </w:tcPr>
          <w:p>
            <w:pPr>
              <w:jc w:val="center"/>
              <w:rPr>
                <w:b/>
                <w:i/>
                <w:color w:val="002060"/>
                <w:sz w:val="24"/>
                <w:szCs w:val="24"/>
              </w:rPr>
            </w:pPr>
            <w:r>
              <w:rPr>
                <w:b/>
                <w:i/>
                <w:color w:val="002060"/>
                <w:sz w:val="24"/>
                <w:szCs w:val="24"/>
              </w:rPr>
              <w:t>KS3</w:t>
            </w:r>
          </w:p>
          <w:p>
            <w:pPr>
              <w:jc w:val="center"/>
              <w:rPr>
                <w:b/>
                <w:i/>
                <w:color w:val="002060"/>
                <w:sz w:val="24"/>
                <w:szCs w:val="24"/>
              </w:rPr>
            </w:pPr>
            <w:r>
              <w:rPr>
                <w:b/>
                <w:i/>
                <w:color w:val="002060"/>
                <w:sz w:val="24"/>
                <w:szCs w:val="24"/>
              </w:rPr>
              <w:t>(21/22)</w:t>
            </w:r>
          </w:p>
        </w:tc>
        <w:tc>
          <w:tcPr>
            <w:tcW w:w="823" w:type="dxa"/>
          </w:tcPr>
          <w:p>
            <w:pPr>
              <w:jc w:val="center"/>
              <w:rPr>
                <w:b/>
                <w:i/>
                <w:color w:val="002060"/>
                <w:sz w:val="24"/>
                <w:szCs w:val="24"/>
              </w:rPr>
            </w:pPr>
            <w:r>
              <w:rPr>
                <w:b/>
                <w:i/>
                <w:color w:val="002060"/>
                <w:sz w:val="24"/>
                <w:szCs w:val="24"/>
              </w:rPr>
              <w:t>KS4</w:t>
            </w:r>
          </w:p>
          <w:p>
            <w:pPr>
              <w:jc w:val="center"/>
              <w:rPr>
                <w:b/>
                <w:i/>
                <w:color w:val="002060"/>
                <w:sz w:val="24"/>
                <w:szCs w:val="24"/>
              </w:rPr>
            </w:pPr>
            <w:r>
              <w:rPr>
                <w:b/>
                <w:i/>
                <w:color w:val="002060"/>
                <w:sz w:val="24"/>
                <w:szCs w:val="24"/>
              </w:rPr>
              <w:t>(21/</w:t>
            </w:r>
          </w:p>
          <w:p>
            <w:pPr>
              <w:jc w:val="center"/>
              <w:rPr>
                <w:b/>
                <w:i/>
                <w:color w:val="002060"/>
                <w:sz w:val="24"/>
                <w:szCs w:val="24"/>
              </w:rPr>
            </w:pPr>
            <w:r>
              <w:rPr>
                <w:b/>
                <w:i/>
                <w:color w:val="002060"/>
                <w:sz w:val="24"/>
                <w:szCs w:val="24"/>
              </w:rPr>
              <w:t>22)</w:t>
            </w:r>
          </w:p>
        </w:tc>
        <w:tc>
          <w:tcPr>
            <w:tcW w:w="709" w:type="dxa"/>
          </w:tcPr>
          <w:p>
            <w:pPr>
              <w:jc w:val="center"/>
              <w:rPr>
                <w:b/>
                <w:i/>
                <w:sz w:val="24"/>
                <w:szCs w:val="24"/>
              </w:rPr>
            </w:pPr>
            <w:r>
              <w:rPr>
                <w:b/>
                <w:i/>
                <w:sz w:val="24"/>
                <w:szCs w:val="24"/>
              </w:rPr>
              <w:t>KS2</w:t>
            </w:r>
          </w:p>
          <w:p>
            <w:pPr>
              <w:jc w:val="center"/>
              <w:rPr>
                <w:b/>
                <w:i/>
                <w:sz w:val="24"/>
                <w:szCs w:val="24"/>
              </w:rPr>
            </w:pPr>
            <w:r>
              <w:rPr>
                <w:b/>
                <w:i/>
                <w:sz w:val="24"/>
                <w:szCs w:val="24"/>
              </w:rPr>
              <w:t>(20/21)</w:t>
            </w:r>
          </w:p>
        </w:tc>
        <w:tc>
          <w:tcPr>
            <w:tcW w:w="708" w:type="dxa"/>
          </w:tcPr>
          <w:p>
            <w:pPr>
              <w:jc w:val="center"/>
              <w:rPr>
                <w:b/>
                <w:i/>
                <w:sz w:val="24"/>
                <w:szCs w:val="24"/>
              </w:rPr>
            </w:pPr>
            <w:r>
              <w:rPr>
                <w:b/>
                <w:i/>
                <w:sz w:val="24"/>
                <w:szCs w:val="24"/>
              </w:rPr>
              <w:t>KS3</w:t>
            </w:r>
          </w:p>
          <w:p>
            <w:pPr>
              <w:jc w:val="center"/>
              <w:rPr>
                <w:b/>
                <w:i/>
                <w:sz w:val="24"/>
                <w:szCs w:val="24"/>
              </w:rPr>
            </w:pPr>
            <w:r>
              <w:rPr>
                <w:b/>
                <w:i/>
                <w:sz w:val="24"/>
                <w:szCs w:val="24"/>
              </w:rPr>
              <w:t>(20/21)</w:t>
            </w:r>
          </w:p>
        </w:tc>
        <w:tc>
          <w:tcPr>
            <w:tcW w:w="709" w:type="dxa"/>
          </w:tcPr>
          <w:p>
            <w:pPr>
              <w:jc w:val="center"/>
              <w:rPr>
                <w:b/>
                <w:i/>
                <w:sz w:val="24"/>
                <w:szCs w:val="24"/>
              </w:rPr>
            </w:pPr>
            <w:r>
              <w:rPr>
                <w:b/>
                <w:i/>
                <w:sz w:val="24"/>
                <w:szCs w:val="24"/>
              </w:rPr>
              <w:t>KS4</w:t>
            </w:r>
          </w:p>
          <w:p>
            <w:pPr>
              <w:jc w:val="center"/>
              <w:rPr>
                <w:b/>
                <w:i/>
                <w:sz w:val="24"/>
                <w:szCs w:val="24"/>
              </w:rPr>
            </w:pPr>
            <w:r>
              <w:rPr>
                <w:b/>
                <w:i/>
                <w:sz w:val="24"/>
                <w:szCs w:val="24"/>
              </w:rPr>
              <w:t>(20/21)</w:t>
            </w:r>
          </w:p>
        </w:tc>
      </w:tr>
      <w:tr>
        <w:trPr>
          <w:trHeight w:val="367"/>
        </w:trPr>
        <w:tc>
          <w:tcPr>
            <w:tcW w:w="1524" w:type="dxa"/>
            <w:vAlign w:val="center"/>
          </w:tcPr>
          <w:p>
            <w:pPr>
              <w:jc w:val="center"/>
              <w:rPr>
                <w:b/>
                <w:i/>
                <w:sz w:val="28"/>
                <w:szCs w:val="28"/>
              </w:rPr>
            </w:pPr>
            <w:r>
              <w:rPr>
                <w:b/>
                <w:i/>
                <w:sz w:val="28"/>
                <w:szCs w:val="28"/>
              </w:rPr>
              <w:t>English</w:t>
            </w:r>
          </w:p>
        </w:tc>
        <w:tc>
          <w:tcPr>
            <w:tcW w:w="711" w:type="dxa"/>
            <w:vAlign w:val="center"/>
          </w:tcPr>
          <w:p>
            <w:pPr>
              <w:jc w:val="center"/>
              <w:rPr>
                <w:b/>
                <w:i/>
                <w:color w:val="0070C0"/>
                <w:sz w:val="28"/>
                <w:szCs w:val="28"/>
              </w:rPr>
            </w:pPr>
            <w:r>
              <w:rPr>
                <w:b/>
                <w:i/>
                <w:color w:val="0070C0"/>
                <w:sz w:val="28"/>
                <w:szCs w:val="28"/>
              </w:rPr>
              <w:t>52%</w:t>
            </w:r>
          </w:p>
        </w:tc>
        <w:tc>
          <w:tcPr>
            <w:tcW w:w="708" w:type="dxa"/>
            <w:vAlign w:val="center"/>
          </w:tcPr>
          <w:p>
            <w:pPr>
              <w:jc w:val="center"/>
              <w:rPr>
                <w:b/>
                <w:i/>
                <w:color w:val="0070C0"/>
                <w:sz w:val="28"/>
                <w:szCs w:val="28"/>
              </w:rPr>
            </w:pPr>
            <w:r>
              <w:rPr>
                <w:b/>
                <w:i/>
                <w:color w:val="0070C0"/>
                <w:sz w:val="28"/>
                <w:szCs w:val="28"/>
              </w:rPr>
              <w:t>48%</w:t>
            </w:r>
          </w:p>
        </w:tc>
        <w:tc>
          <w:tcPr>
            <w:tcW w:w="709" w:type="dxa"/>
            <w:vAlign w:val="center"/>
          </w:tcPr>
          <w:p>
            <w:pPr>
              <w:jc w:val="center"/>
              <w:rPr>
                <w:b/>
                <w:i/>
                <w:color w:val="000000" w:themeColor="text1"/>
                <w:sz w:val="28"/>
                <w:szCs w:val="28"/>
              </w:rPr>
            </w:pPr>
            <w:r>
              <w:rPr>
                <w:b/>
                <w:i/>
                <w:color w:val="000000" w:themeColor="text1"/>
                <w:sz w:val="28"/>
                <w:szCs w:val="28"/>
              </w:rPr>
              <w:t>59%</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37%</w:t>
            </w:r>
          </w:p>
        </w:tc>
        <w:tc>
          <w:tcPr>
            <w:tcW w:w="709" w:type="dxa"/>
            <w:tcBorders>
              <w:left w:val="single" w:sz="12" w:space="0" w:color="auto"/>
            </w:tcBorders>
          </w:tcPr>
          <w:p>
            <w:pPr>
              <w:jc w:val="center"/>
              <w:rPr>
                <w:b/>
                <w:i/>
                <w:color w:val="0070C0"/>
                <w:sz w:val="28"/>
                <w:szCs w:val="28"/>
              </w:rPr>
            </w:pPr>
            <w:r>
              <w:rPr>
                <w:b/>
                <w:i/>
                <w:color w:val="0070C0"/>
                <w:sz w:val="28"/>
                <w:szCs w:val="28"/>
              </w:rPr>
              <w:t>78%</w:t>
            </w:r>
          </w:p>
        </w:tc>
        <w:tc>
          <w:tcPr>
            <w:tcW w:w="736" w:type="dxa"/>
          </w:tcPr>
          <w:p>
            <w:pPr>
              <w:jc w:val="center"/>
              <w:rPr>
                <w:b/>
                <w:i/>
                <w:color w:val="0070C0"/>
                <w:sz w:val="28"/>
                <w:szCs w:val="28"/>
              </w:rPr>
            </w:pPr>
            <w:r>
              <w:rPr>
                <w:b/>
                <w:i/>
                <w:color w:val="0070C0"/>
                <w:sz w:val="28"/>
                <w:szCs w:val="28"/>
              </w:rPr>
              <w:t>42%</w:t>
            </w:r>
          </w:p>
        </w:tc>
        <w:tc>
          <w:tcPr>
            <w:tcW w:w="823" w:type="dxa"/>
          </w:tcPr>
          <w:p>
            <w:pPr>
              <w:jc w:val="center"/>
              <w:rPr>
                <w:b/>
                <w:i/>
                <w:color w:val="0070C0"/>
                <w:sz w:val="28"/>
                <w:szCs w:val="28"/>
              </w:rPr>
            </w:pPr>
            <w:r>
              <w:rPr>
                <w:b/>
                <w:i/>
                <w:color w:val="0070C0"/>
                <w:sz w:val="28"/>
                <w:szCs w:val="28"/>
              </w:rPr>
              <w:t>55%</w:t>
            </w:r>
          </w:p>
        </w:tc>
        <w:tc>
          <w:tcPr>
            <w:tcW w:w="709" w:type="dxa"/>
          </w:tcPr>
          <w:p>
            <w:pPr>
              <w:jc w:val="center"/>
              <w:rPr>
                <w:b/>
                <w:i/>
                <w:color w:val="000000" w:themeColor="text1"/>
                <w:sz w:val="28"/>
                <w:szCs w:val="28"/>
              </w:rPr>
            </w:pPr>
            <w:r>
              <w:rPr>
                <w:b/>
                <w:i/>
                <w:color w:val="000000" w:themeColor="text1"/>
                <w:sz w:val="28"/>
                <w:szCs w:val="28"/>
              </w:rPr>
              <w:t>85%</w:t>
            </w:r>
          </w:p>
        </w:tc>
        <w:tc>
          <w:tcPr>
            <w:tcW w:w="708" w:type="dxa"/>
          </w:tcPr>
          <w:p>
            <w:pPr>
              <w:jc w:val="center"/>
              <w:rPr>
                <w:b/>
                <w:i/>
                <w:color w:val="000000" w:themeColor="text1"/>
                <w:sz w:val="28"/>
                <w:szCs w:val="28"/>
              </w:rPr>
            </w:pPr>
            <w:r>
              <w:rPr>
                <w:b/>
                <w:i/>
                <w:color w:val="000000" w:themeColor="text1"/>
                <w:sz w:val="28"/>
                <w:szCs w:val="28"/>
              </w:rPr>
              <w:t>63%</w:t>
            </w:r>
          </w:p>
        </w:tc>
        <w:tc>
          <w:tcPr>
            <w:tcW w:w="709" w:type="dxa"/>
          </w:tcPr>
          <w:p>
            <w:pPr>
              <w:jc w:val="center"/>
              <w:rPr>
                <w:b/>
                <w:i/>
                <w:color w:val="000000" w:themeColor="text1"/>
                <w:sz w:val="28"/>
                <w:szCs w:val="28"/>
              </w:rPr>
            </w:pPr>
            <w:r>
              <w:rPr>
                <w:b/>
                <w:i/>
                <w:color w:val="000000" w:themeColor="text1"/>
                <w:sz w:val="28"/>
                <w:szCs w:val="28"/>
              </w:rPr>
              <w:t>52%</w:t>
            </w:r>
          </w:p>
        </w:tc>
      </w:tr>
      <w:tr>
        <w:tc>
          <w:tcPr>
            <w:tcW w:w="1524" w:type="dxa"/>
            <w:vAlign w:val="center"/>
          </w:tcPr>
          <w:p>
            <w:pPr>
              <w:jc w:val="center"/>
              <w:rPr>
                <w:b/>
                <w:i/>
                <w:sz w:val="28"/>
                <w:szCs w:val="28"/>
              </w:rPr>
            </w:pPr>
            <w:r>
              <w:rPr>
                <w:b/>
                <w:i/>
                <w:sz w:val="28"/>
                <w:szCs w:val="28"/>
              </w:rPr>
              <w:t xml:space="preserve">Maths </w:t>
            </w:r>
          </w:p>
        </w:tc>
        <w:tc>
          <w:tcPr>
            <w:tcW w:w="711" w:type="dxa"/>
            <w:vAlign w:val="center"/>
          </w:tcPr>
          <w:p>
            <w:pPr>
              <w:jc w:val="center"/>
              <w:rPr>
                <w:b/>
                <w:i/>
                <w:color w:val="0070C0"/>
                <w:sz w:val="28"/>
                <w:szCs w:val="28"/>
              </w:rPr>
            </w:pPr>
            <w:r>
              <w:rPr>
                <w:b/>
                <w:i/>
                <w:color w:val="0070C0"/>
                <w:sz w:val="28"/>
                <w:szCs w:val="28"/>
              </w:rPr>
              <w:t>56%</w:t>
            </w:r>
          </w:p>
        </w:tc>
        <w:tc>
          <w:tcPr>
            <w:tcW w:w="708" w:type="dxa"/>
            <w:vAlign w:val="center"/>
          </w:tcPr>
          <w:p>
            <w:pPr>
              <w:jc w:val="center"/>
              <w:rPr>
                <w:b/>
                <w:i/>
                <w:color w:val="0070C0"/>
                <w:sz w:val="28"/>
                <w:szCs w:val="28"/>
              </w:rPr>
            </w:pPr>
            <w:r>
              <w:rPr>
                <w:b/>
                <w:i/>
                <w:color w:val="0070C0"/>
                <w:sz w:val="28"/>
                <w:szCs w:val="28"/>
              </w:rPr>
              <w:t>44%</w:t>
            </w:r>
          </w:p>
        </w:tc>
        <w:tc>
          <w:tcPr>
            <w:tcW w:w="709" w:type="dxa"/>
            <w:vAlign w:val="center"/>
          </w:tcPr>
          <w:p>
            <w:pPr>
              <w:jc w:val="center"/>
              <w:rPr>
                <w:b/>
                <w:i/>
                <w:color w:val="000000" w:themeColor="text1"/>
                <w:sz w:val="28"/>
                <w:szCs w:val="28"/>
              </w:rPr>
            </w:pPr>
            <w:r>
              <w:rPr>
                <w:b/>
                <w:i/>
                <w:color w:val="000000" w:themeColor="text1"/>
                <w:sz w:val="28"/>
                <w:szCs w:val="28"/>
              </w:rPr>
              <w:t>66%</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35%</w:t>
            </w:r>
          </w:p>
        </w:tc>
        <w:tc>
          <w:tcPr>
            <w:tcW w:w="709" w:type="dxa"/>
            <w:tcBorders>
              <w:left w:val="single" w:sz="12" w:space="0" w:color="auto"/>
            </w:tcBorders>
          </w:tcPr>
          <w:p>
            <w:pPr>
              <w:jc w:val="center"/>
              <w:rPr>
                <w:b/>
                <w:i/>
                <w:color w:val="0070C0"/>
                <w:sz w:val="28"/>
                <w:szCs w:val="28"/>
              </w:rPr>
            </w:pPr>
            <w:r>
              <w:rPr>
                <w:b/>
                <w:i/>
                <w:color w:val="0070C0"/>
                <w:sz w:val="28"/>
                <w:szCs w:val="28"/>
              </w:rPr>
              <w:t>78%</w:t>
            </w:r>
          </w:p>
        </w:tc>
        <w:tc>
          <w:tcPr>
            <w:tcW w:w="736" w:type="dxa"/>
          </w:tcPr>
          <w:p>
            <w:pPr>
              <w:jc w:val="center"/>
              <w:rPr>
                <w:b/>
                <w:i/>
                <w:color w:val="0070C0"/>
                <w:sz w:val="28"/>
                <w:szCs w:val="28"/>
              </w:rPr>
            </w:pPr>
            <w:r>
              <w:rPr>
                <w:b/>
                <w:i/>
                <w:color w:val="0070C0"/>
                <w:sz w:val="28"/>
                <w:szCs w:val="28"/>
              </w:rPr>
              <w:t>50%</w:t>
            </w:r>
          </w:p>
        </w:tc>
        <w:tc>
          <w:tcPr>
            <w:tcW w:w="823" w:type="dxa"/>
          </w:tcPr>
          <w:p>
            <w:pPr>
              <w:jc w:val="center"/>
              <w:rPr>
                <w:b/>
                <w:i/>
                <w:color w:val="0070C0"/>
                <w:sz w:val="28"/>
                <w:szCs w:val="28"/>
              </w:rPr>
            </w:pPr>
            <w:r>
              <w:rPr>
                <w:b/>
                <w:i/>
                <w:color w:val="0070C0"/>
                <w:sz w:val="28"/>
                <w:szCs w:val="28"/>
              </w:rPr>
              <w:t>55%</w:t>
            </w:r>
          </w:p>
        </w:tc>
        <w:tc>
          <w:tcPr>
            <w:tcW w:w="709" w:type="dxa"/>
          </w:tcPr>
          <w:p>
            <w:pPr>
              <w:jc w:val="center"/>
              <w:rPr>
                <w:b/>
                <w:i/>
                <w:color w:val="000000" w:themeColor="text1"/>
                <w:sz w:val="28"/>
                <w:szCs w:val="28"/>
              </w:rPr>
            </w:pPr>
            <w:r>
              <w:rPr>
                <w:b/>
                <w:i/>
                <w:color w:val="000000" w:themeColor="text1"/>
                <w:sz w:val="28"/>
                <w:szCs w:val="28"/>
              </w:rPr>
              <w:t>85%</w:t>
            </w:r>
          </w:p>
        </w:tc>
        <w:tc>
          <w:tcPr>
            <w:tcW w:w="708" w:type="dxa"/>
          </w:tcPr>
          <w:p>
            <w:pPr>
              <w:jc w:val="center"/>
              <w:rPr>
                <w:b/>
                <w:i/>
                <w:color w:val="000000" w:themeColor="text1"/>
                <w:sz w:val="28"/>
                <w:szCs w:val="28"/>
              </w:rPr>
            </w:pPr>
            <w:r>
              <w:rPr>
                <w:b/>
                <w:i/>
                <w:color w:val="000000" w:themeColor="text1"/>
                <w:sz w:val="28"/>
                <w:szCs w:val="28"/>
              </w:rPr>
              <w:t>75%</w:t>
            </w:r>
          </w:p>
        </w:tc>
        <w:tc>
          <w:tcPr>
            <w:tcW w:w="709" w:type="dxa"/>
          </w:tcPr>
          <w:p>
            <w:pPr>
              <w:jc w:val="center"/>
              <w:rPr>
                <w:b/>
                <w:i/>
                <w:color w:val="000000" w:themeColor="text1"/>
                <w:sz w:val="28"/>
                <w:szCs w:val="28"/>
              </w:rPr>
            </w:pPr>
            <w:r>
              <w:rPr>
                <w:b/>
                <w:i/>
                <w:color w:val="000000" w:themeColor="text1"/>
                <w:sz w:val="28"/>
                <w:szCs w:val="28"/>
              </w:rPr>
              <w:t>54%</w:t>
            </w:r>
          </w:p>
        </w:tc>
      </w:tr>
      <w:tr>
        <w:tc>
          <w:tcPr>
            <w:tcW w:w="1524" w:type="dxa"/>
            <w:vAlign w:val="center"/>
          </w:tcPr>
          <w:p>
            <w:pPr>
              <w:jc w:val="center"/>
              <w:rPr>
                <w:b/>
                <w:i/>
                <w:sz w:val="28"/>
                <w:szCs w:val="28"/>
              </w:rPr>
            </w:pPr>
            <w:r>
              <w:rPr>
                <w:b/>
                <w:i/>
                <w:sz w:val="28"/>
                <w:szCs w:val="28"/>
              </w:rPr>
              <w:t>Science</w:t>
            </w:r>
          </w:p>
        </w:tc>
        <w:tc>
          <w:tcPr>
            <w:tcW w:w="711" w:type="dxa"/>
            <w:vAlign w:val="center"/>
          </w:tcPr>
          <w:p>
            <w:pPr>
              <w:jc w:val="center"/>
              <w:rPr>
                <w:b/>
                <w:i/>
                <w:color w:val="0070C0"/>
                <w:sz w:val="28"/>
                <w:szCs w:val="28"/>
              </w:rPr>
            </w:pPr>
            <w:r>
              <w:rPr>
                <w:b/>
                <w:i/>
                <w:color w:val="0070C0"/>
                <w:sz w:val="28"/>
                <w:szCs w:val="28"/>
              </w:rPr>
              <w:t>52%</w:t>
            </w:r>
          </w:p>
        </w:tc>
        <w:tc>
          <w:tcPr>
            <w:tcW w:w="708" w:type="dxa"/>
            <w:vAlign w:val="center"/>
          </w:tcPr>
          <w:p>
            <w:pPr>
              <w:jc w:val="center"/>
              <w:rPr>
                <w:b/>
                <w:i/>
                <w:color w:val="0070C0"/>
                <w:sz w:val="28"/>
                <w:szCs w:val="28"/>
              </w:rPr>
            </w:pPr>
            <w:r>
              <w:rPr>
                <w:b/>
                <w:i/>
                <w:color w:val="0070C0"/>
                <w:sz w:val="28"/>
                <w:szCs w:val="28"/>
              </w:rPr>
              <w:t>48%</w:t>
            </w:r>
          </w:p>
        </w:tc>
        <w:tc>
          <w:tcPr>
            <w:tcW w:w="709" w:type="dxa"/>
            <w:vAlign w:val="center"/>
          </w:tcPr>
          <w:p>
            <w:pPr>
              <w:jc w:val="center"/>
              <w:rPr>
                <w:b/>
                <w:i/>
                <w:color w:val="000000" w:themeColor="text1"/>
                <w:sz w:val="28"/>
                <w:szCs w:val="28"/>
              </w:rPr>
            </w:pPr>
            <w:r>
              <w:rPr>
                <w:b/>
                <w:i/>
                <w:color w:val="000000" w:themeColor="text1"/>
                <w:sz w:val="28"/>
                <w:szCs w:val="28"/>
              </w:rPr>
              <w:t>57%</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43%</w:t>
            </w:r>
          </w:p>
        </w:tc>
        <w:tc>
          <w:tcPr>
            <w:tcW w:w="709" w:type="dxa"/>
            <w:tcBorders>
              <w:left w:val="single" w:sz="12" w:space="0" w:color="auto"/>
            </w:tcBorders>
          </w:tcPr>
          <w:p>
            <w:pPr>
              <w:jc w:val="center"/>
              <w:rPr>
                <w:b/>
                <w:i/>
                <w:color w:val="0070C0"/>
                <w:sz w:val="28"/>
                <w:szCs w:val="28"/>
              </w:rPr>
            </w:pPr>
            <w:r>
              <w:rPr>
                <w:b/>
                <w:i/>
                <w:color w:val="0070C0"/>
                <w:sz w:val="28"/>
                <w:szCs w:val="28"/>
              </w:rPr>
              <w:t>67%</w:t>
            </w:r>
          </w:p>
        </w:tc>
        <w:tc>
          <w:tcPr>
            <w:tcW w:w="736" w:type="dxa"/>
          </w:tcPr>
          <w:p>
            <w:pPr>
              <w:jc w:val="center"/>
              <w:rPr>
                <w:b/>
                <w:i/>
                <w:color w:val="0070C0"/>
                <w:sz w:val="28"/>
                <w:szCs w:val="28"/>
              </w:rPr>
            </w:pPr>
            <w:r>
              <w:rPr>
                <w:b/>
                <w:i/>
                <w:color w:val="0070C0"/>
                <w:sz w:val="28"/>
                <w:szCs w:val="28"/>
              </w:rPr>
              <w:t>50%</w:t>
            </w:r>
          </w:p>
        </w:tc>
        <w:tc>
          <w:tcPr>
            <w:tcW w:w="823" w:type="dxa"/>
          </w:tcPr>
          <w:p>
            <w:pPr>
              <w:jc w:val="center"/>
              <w:rPr>
                <w:b/>
                <w:i/>
                <w:color w:val="0070C0"/>
                <w:sz w:val="28"/>
                <w:szCs w:val="28"/>
              </w:rPr>
            </w:pPr>
            <w:r>
              <w:rPr>
                <w:b/>
                <w:i/>
                <w:color w:val="0070C0"/>
                <w:sz w:val="28"/>
                <w:szCs w:val="28"/>
              </w:rPr>
              <w:t>50%</w:t>
            </w:r>
          </w:p>
        </w:tc>
        <w:tc>
          <w:tcPr>
            <w:tcW w:w="709" w:type="dxa"/>
          </w:tcPr>
          <w:p>
            <w:pPr>
              <w:jc w:val="center"/>
              <w:rPr>
                <w:b/>
                <w:i/>
                <w:color w:val="000000" w:themeColor="text1"/>
                <w:sz w:val="28"/>
                <w:szCs w:val="28"/>
              </w:rPr>
            </w:pPr>
            <w:r>
              <w:rPr>
                <w:b/>
                <w:i/>
                <w:color w:val="000000" w:themeColor="text1"/>
                <w:sz w:val="28"/>
                <w:szCs w:val="28"/>
              </w:rPr>
              <w:t>73%</w:t>
            </w:r>
          </w:p>
        </w:tc>
        <w:tc>
          <w:tcPr>
            <w:tcW w:w="708" w:type="dxa"/>
          </w:tcPr>
          <w:p>
            <w:pPr>
              <w:jc w:val="center"/>
              <w:rPr>
                <w:b/>
                <w:i/>
                <w:color w:val="000000" w:themeColor="text1"/>
                <w:sz w:val="28"/>
                <w:szCs w:val="28"/>
              </w:rPr>
            </w:pPr>
            <w:r>
              <w:rPr>
                <w:b/>
                <w:i/>
                <w:color w:val="000000" w:themeColor="text1"/>
                <w:sz w:val="28"/>
                <w:szCs w:val="28"/>
              </w:rPr>
              <w:t>57%</w:t>
            </w:r>
          </w:p>
        </w:tc>
        <w:tc>
          <w:tcPr>
            <w:tcW w:w="709" w:type="dxa"/>
          </w:tcPr>
          <w:p>
            <w:pPr>
              <w:jc w:val="center"/>
              <w:rPr>
                <w:b/>
                <w:i/>
                <w:color w:val="000000" w:themeColor="text1"/>
                <w:sz w:val="28"/>
                <w:szCs w:val="28"/>
              </w:rPr>
            </w:pPr>
            <w:r>
              <w:rPr>
                <w:b/>
                <w:i/>
                <w:color w:val="000000" w:themeColor="text1"/>
                <w:sz w:val="28"/>
                <w:szCs w:val="28"/>
              </w:rPr>
              <w:t>48%</w:t>
            </w:r>
          </w:p>
        </w:tc>
      </w:tr>
      <w:tr>
        <w:tc>
          <w:tcPr>
            <w:tcW w:w="1524" w:type="dxa"/>
            <w:vAlign w:val="center"/>
          </w:tcPr>
          <w:p>
            <w:pPr>
              <w:jc w:val="center"/>
              <w:rPr>
                <w:b/>
                <w:i/>
                <w:sz w:val="24"/>
                <w:szCs w:val="24"/>
              </w:rPr>
            </w:pPr>
            <w:r>
              <w:rPr>
                <w:b/>
                <w:i/>
                <w:sz w:val="24"/>
                <w:szCs w:val="24"/>
              </w:rPr>
              <w:t>ICT/</w:t>
            </w:r>
          </w:p>
          <w:p>
            <w:pPr>
              <w:jc w:val="center"/>
              <w:rPr>
                <w:b/>
                <w:i/>
                <w:sz w:val="28"/>
                <w:szCs w:val="28"/>
              </w:rPr>
            </w:pPr>
            <w:r>
              <w:rPr>
                <w:b/>
                <w:i/>
                <w:sz w:val="24"/>
                <w:szCs w:val="24"/>
              </w:rPr>
              <w:t>Computing</w:t>
            </w:r>
          </w:p>
        </w:tc>
        <w:tc>
          <w:tcPr>
            <w:tcW w:w="711" w:type="dxa"/>
            <w:vAlign w:val="center"/>
          </w:tcPr>
          <w:p>
            <w:pPr>
              <w:jc w:val="center"/>
              <w:rPr>
                <w:b/>
                <w:i/>
                <w:color w:val="0070C0"/>
                <w:sz w:val="28"/>
                <w:szCs w:val="28"/>
              </w:rPr>
            </w:pPr>
            <w:r>
              <w:rPr>
                <w:b/>
                <w:i/>
                <w:color w:val="0070C0"/>
                <w:sz w:val="28"/>
                <w:szCs w:val="28"/>
              </w:rPr>
              <w:t>63%</w:t>
            </w:r>
          </w:p>
        </w:tc>
        <w:tc>
          <w:tcPr>
            <w:tcW w:w="708" w:type="dxa"/>
            <w:vAlign w:val="center"/>
          </w:tcPr>
          <w:p>
            <w:pPr>
              <w:jc w:val="center"/>
              <w:rPr>
                <w:b/>
                <w:i/>
                <w:color w:val="0070C0"/>
                <w:sz w:val="28"/>
                <w:szCs w:val="28"/>
              </w:rPr>
            </w:pPr>
            <w:r>
              <w:rPr>
                <w:b/>
                <w:i/>
                <w:color w:val="0070C0"/>
                <w:sz w:val="28"/>
                <w:szCs w:val="28"/>
              </w:rPr>
              <w:t>37%</w:t>
            </w:r>
          </w:p>
        </w:tc>
        <w:tc>
          <w:tcPr>
            <w:tcW w:w="709" w:type="dxa"/>
            <w:vAlign w:val="center"/>
          </w:tcPr>
          <w:p>
            <w:pPr>
              <w:jc w:val="center"/>
              <w:rPr>
                <w:b/>
                <w:i/>
                <w:color w:val="000000" w:themeColor="text1"/>
                <w:sz w:val="28"/>
                <w:szCs w:val="28"/>
              </w:rPr>
            </w:pPr>
            <w:r>
              <w:rPr>
                <w:b/>
                <w:i/>
                <w:color w:val="000000" w:themeColor="text1"/>
                <w:sz w:val="28"/>
                <w:szCs w:val="28"/>
              </w:rPr>
              <w:t>68%</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32%</w:t>
            </w:r>
          </w:p>
        </w:tc>
        <w:tc>
          <w:tcPr>
            <w:tcW w:w="709" w:type="dxa"/>
            <w:tcBorders>
              <w:left w:val="single" w:sz="12" w:space="0" w:color="auto"/>
            </w:tcBorders>
          </w:tcPr>
          <w:p>
            <w:pPr>
              <w:jc w:val="center"/>
              <w:rPr>
                <w:b/>
                <w:i/>
                <w:color w:val="0070C0"/>
                <w:sz w:val="28"/>
                <w:szCs w:val="28"/>
              </w:rPr>
            </w:pPr>
            <w:r>
              <w:rPr>
                <w:b/>
                <w:i/>
                <w:color w:val="0070C0"/>
                <w:sz w:val="28"/>
                <w:szCs w:val="28"/>
              </w:rPr>
              <w:t>77%</w:t>
            </w:r>
          </w:p>
        </w:tc>
        <w:tc>
          <w:tcPr>
            <w:tcW w:w="736" w:type="dxa"/>
          </w:tcPr>
          <w:p>
            <w:pPr>
              <w:jc w:val="center"/>
              <w:rPr>
                <w:b/>
                <w:i/>
                <w:color w:val="0070C0"/>
                <w:sz w:val="28"/>
                <w:szCs w:val="28"/>
              </w:rPr>
            </w:pPr>
            <w:r>
              <w:rPr>
                <w:b/>
                <w:i/>
                <w:color w:val="0070C0"/>
                <w:sz w:val="28"/>
                <w:szCs w:val="28"/>
              </w:rPr>
              <w:t>54%</w:t>
            </w:r>
          </w:p>
        </w:tc>
        <w:tc>
          <w:tcPr>
            <w:tcW w:w="823" w:type="dxa"/>
          </w:tcPr>
          <w:p>
            <w:pPr>
              <w:jc w:val="center"/>
              <w:rPr>
                <w:b/>
                <w:i/>
                <w:color w:val="0070C0"/>
                <w:sz w:val="28"/>
                <w:szCs w:val="28"/>
              </w:rPr>
            </w:pPr>
            <w:r>
              <w:rPr>
                <w:b/>
                <w:i/>
                <w:color w:val="0070C0"/>
                <w:sz w:val="28"/>
                <w:szCs w:val="28"/>
              </w:rPr>
              <w:t>75%</w:t>
            </w:r>
          </w:p>
        </w:tc>
        <w:tc>
          <w:tcPr>
            <w:tcW w:w="709" w:type="dxa"/>
          </w:tcPr>
          <w:p>
            <w:pPr>
              <w:jc w:val="center"/>
              <w:rPr>
                <w:b/>
                <w:i/>
                <w:color w:val="000000" w:themeColor="text1"/>
                <w:sz w:val="28"/>
                <w:szCs w:val="28"/>
              </w:rPr>
            </w:pPr>
            <w:r>
              <w:rPr>
                <w:b/>
                <w:i/>
                <w:color w:val="000000" w:themeColor="text1"/>
                <w:sz w:val="28"/>
                <w:szCs w:val="28"/>
              </w:rPr>
              <w:t>85%</w:t>
            </w:r>
          </w:p>
        </w:tc>
        <w:tc>
          <w:tcPr>
            <w:tcW w:w="708" w:type="dxa"/>
          </w:tcPr>
          <w:p>
            <w:pPr>
              <w:jc w:val="center"/>
              <w:rPr>
                <w:b/>
                <w:i/>
                <w:color w:val="000000" w:themeColor="text1"/>
                <w:sz w:val="28"/>
                <w:szCs w:val="28"/>
              </w:rPr>
            </w:pPr>
            <w:r>
              <w:rPr>
                <w:b/>
                <w:i/>
                <w:color w:val="000000" w:themeColor="text1"/>
                <w:sz w:val="28"/>
                <w:szCs w:val="28"/>
              </w:rPr>
              <w:t>71%</w:t>
            </w:r>
          </w:p>
        </w:tc>
        <w:tc>
          <w:tcPr>
            <w:tcW w:w="709" w:type="dxa"/>
          </w:tcPr>
          <w:p>
            <w:pPr>
              <w:jc w:val="center"/>
              <w:rPr>
                <w:b/>
                <w:i/>
                <w:color w:val="000000" w:themeColor="text1"/>
                <w:sz w:val="28"/>
                <w:szCs w:val="28"/>
              </w:rPr>
            </w:pPr>
            <w:r>
              <w:rPr>
                <w:b/>
                <w:i/>
                <w:color w:val="000000" w:themeColor="text1"/>
                <w:sz w:val="28"/>
                <w:szCs w:val="28"/>
              </w:rPr>
              <w:t>52%</w:t>
            </w:r>
          </w:p>
        </w:tc>
      </w:tr>
      <w:tr>
        <w:tc>
          <w:tcPr>
            <w:tcW w:w="1524" w:type="dxa"/>
            <w:vAlign w:val="center"/>
          </w:tcPr>
          <w:p>
            <w:pPr>
              <w:jc w:val="center"/>
              <w:rPr>
                <w:b/>
                <w:i/>
                <w:sz w:val="28"/>
                <w:szCs w:val="28"/>
              </w:rPr>
            </w:pPr>
            <w:r>
              <w:rPr>
                <w:b/>
                <w:i/>
                <w:sz w:val="28"/>
                <w:szCs w:val="28"/>
              </w:rPr>
              <w:t>PE</w:t>
            </w:r>
          </w:p>
        </w:tc>
        <w:tc>
          <w:tcPr>
            <w:tcW w:w="711" w:type="dxa"/>
            <w:vAlign w:val="center"/>
          </w:tcPr>
          <w:p>
            <w:pPr>
              <w:jc w:val="center"/>
              <w:rPr>
                <w:b/>
                <w:i/>
                <w:color w:val="0070C0"/>
                <w:sz w:val="28"/>
                <w:szCs w:val="28"/>
              </w:rPr>
            </w:pPr>
            <w:r>
              <w:rPr>
                <w:b/>
                <w:i/>
                <w:color w:val="0070C0"/>
                <w:sz w:val="28"/>
                <w:szCs w:val="28"/>
              </w:rPr>
              <w:t>79%</w:t>
            </w:r>
          </w:p>
        </w:tc>
        <w:tc>
          <w:tcPr>
            <w:tcW w:w="708" w:type="dxa"/>
            <w:vAlign w:val="center"/>
          </w:tcPr>
          <w:p>
            <w:pPr>
              <w:jc w:val="center"/>
              <w:rPr>
                <w:b/>
                <w:i/>
                <w:color w:val="0070C0"/>
                <w:sz w:val="28"/>
                <w:szCs w:val="28"/>
              </w:rPr>
            </w:pPr>
            <w:r>
              <w:rPr>
                <w:b/>
                <w:i/>
                <w:color w:val="0070C0"/>
                <w:sz w:val="28"/>
                <w:szCs w:val="28"/>
              </w:rPr>
              <w:t>21%</w:t>
            </w:r>
          </w:p>
        </w:tc>
        <w:tc>
          <w:tcPr>
            <w:tcW w:w="709" w:type="dxa"/>
            <w:vAlign w:val="center"/>
          </w:tcPr>
          <w:p>
            <w:pPr>
              <w:jc w:val="center"/>
              <w:rPr>
                <w:b/>
                <w:i/>
                <w:color w:val="000000" w:themeColor="text1"/>
                <w:sz w:val="28"/>
                <w:szCs w:val="28"/>
              </w:rPr>
            </w:pPr>
            <w:r>
              <w:rPr>
                <w:b/>
                <w:i/>
                <w:color w:val="000000" w:themeColor="text1"/>
                <w:sz w:val="28"/>
                <w:szCs w:val="28"/>
              </w:rPr>
              <w:t>89%</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11%</w:t>
            </w:r>
          </w:p>
        </w:tc>
        <w:tc>
          <w:tcPr>
            <w:tcW w:w="709" w:type="dxa"/>
            <w:tcBorders>
              <w:left w:val="single" w:sz="12" w:space="0" w:color="auto"/>
            </w:tcBorders>
          </w:tcPr>
          <w:p>
            <w:pPr>
              <w:jc w:val="center"/>
              <w:rPr>
                <w:b/>
                <w:i/>
                <w:color w:val="0070C0"/>
                <w:sz w:val="28"/>
                <w:szCs w:val="28"/>
              </w:rPr>
            </w:pPr>
            <w:r>
              <w:rPr>
                <w:b/>
                <w:i/>
                <w:color w:val="0070C0"/>
                <w:sz w:val="28"/>
                <w:szCs w:val="28"/>
              </w:rPr>
              <w:t>78%</w:t>
            </w:r>
          </w:p>
        </w:tc>
        <w:tc>
          <w:tcPr>
            <w:tcW w:w="736" w:type="dxa"/>
          </w:tcPr>
          <w:p>
            <w:pPr>
              <w:jc w:val="center"/>
              <w:rPr>
                <w:b/>
                <w:i/>
                <w:color w:val="0070C0"/>
                <w:sz w:val="28"/>
                <w:szCs w:val="28"/>
              </w:rPr>
            </w:pPr>
            <w:r>
              <w:rPr>
                <w:b/>
                <w:i/>
                <w:color w:val="0070C0"/>
                <w:sz w:val="28"/>
                <w:szCs w:val="28"/>
              </w:rPr>
              <w:t>83%</w:t>
            </w:r>
          </w:p>
        </w:tc>
        <w:tc>
          <w:tcPr>
            <w:tcW w:w="823" w:type="dxa"/>
          </w:tcPr>
          <w:p>
            <w:pPr>
              <w:jc w:val="center"/>
              <w:rPr>
                <w:b/>
                <w:i/>
                <w:color w:val="0070C0"/>
                <w:sz w:val="28"/>
                <w:szCs w:val="28"/>
              </w:rPr>
            </w:pPr>
            <w:r>
              <w:rPr>
                <w:b/>
                <w:i/>
                <w:color w:val="0070C0"/>
                <w:sz w:val="28"/>
                <w:szCs w:val="28"/>
              </w:rPr>
              <w:t>73%</w:t>
            </w:r>
          </w:p>
        </w:tc>
        <w:tc>
          <w:tcPr>
            <w:tcW w:w="709" w:type="dxa"/>
          </w:tcPr>
          <w:p>
            <w:pPr>
              <w:jc w:val="center"/>
              <w:rPr>
                <w:b/>
                <w:i/>
                <w:color w:val="000000" w:themeColor="text1"/>
                <w:sz w:val="28"/>
                <w:szCs w:val="28"/>
              </w:rPr>
            </w:pPr>
            <w:r>
              <w:rPr>
                <w:b/>
                <w:i/>
                <w:color w:val="000000" w:themeColor="text1"/>
                <w:sz w:val="28"/>
                <w:szCs w:val="28"/>
              </w:rPr>
              <w:t>100%</w:t>
            </w:r>
          </w:p>
        </w:tc>
        <w:tc>
          <w:tcPr>
            <w:tcW w:w="708" w:type="dxa"/>
          </w:tcPr>
          <w:p>
            <w:pPr>
              <w:jc w:val="center"/>
              <w:rPr>
                <w:b/>
                <w:i/>
                <w:color w:val="000000" w:themeColor="text1"/>
                <w:sz w:val="28"/>
                <w:szCs w:val="28"/>
              </w:rPr>
            </w:pPr>
            <w:r>
              <w:rPr>
                <w:b/>
                <w:i/>
                <w:color w:val="000000" w:themeColor="text1"/>
                <w:sz w:val="28"/>
                <w:szCs w:val="28"/>
              </w:rPr>
              <w:t>90%</w:t>
            </w:r>
          </w:p>
        </w:tc>
        <w:tc>
          <w:tcPr>
            <w:tcW w:w="709" w:type="dxa"/>
          </w:tcPr>
          <w:p>
            <w:pPr>
              <w:jc w:val="center"/>
              <w:rPr>
                <w:b/>
                <w:i/>
                <w:color w:val="000000" w:themeColor="text1"/>
                <w:sz w:val="28"/>
                <w:szCs w:val="28"/>
              </w:rPr>
            </w:pPr>
            <w:r>
              <w:rPr>
                <w:b/>
                <w:i/>
                <w:color w:val="000000" w:themeColor="text1"/>
                <w:sz w:val="28"/>
                <w:szCs w:val="28"/>
              </w:rPr>
              <w:t>85%</w:t>
            </w:r>
          </w:p>
        </w:tc>
      </w:tr>
      <w:tr>
        <w:tc>
          <w:tcPr>
            <w:tcW w:w="1524" w:type="dxa"/>
            <w:vAlign w:val="center"/>
          </w:tcPr>
          <w:p>
            <w:pPr>
              <w:jc w:val="center"/>
              <w:rPr>
                <w:b/>
                <w:i/>
                <w:sz w:val="28"/>
                <w:szCs w:val="28"/>
              </w:rPr>
            </w:pPr>
            <w:r>
              <w:rPr>
                <w:b/>
                <w:i/>
                <w:sz w:val="28"/>
                <w:szCs w:val="28"/>
              </w:rPr>
              <w:t>Art</w:t>
            </w:r>
          </w:p>
        </w:tc>
        <w:tc>
          <w:tcPr>
            <w:tcW w:w="711" w:type="dxa"/>
            <w:vAlign w:val="center"/>
          </w:tcPr>
          <w:p>
            <w:pPr>
              <w:jc w:val="center"/>
              <w:rPr>
                <w:b/>
                <w:i/>
                <w:color w:val="0070C0"/>
                <w:sz w:val="28"/>
                <w:szCs w:val="28"/>
              </w:rPr>
            </w:pPr>
            <w:r>
              <w:rPr>
                <w:b/>
                <w:i/>
                <w:color w:val="0070C0"/>
                <w:sz w:val="28"/>
                <w:szCs w:val="28"/>
              </w:rPr>
              <w:t>59%</w:t>
            </w:r>
          </w:p>
        </w:tc>
        <w:tc>
          <w:tcPr>
            <w:tcW w:w="708" w:type="dxa"/>
            <w:vAlign w:val="center"/>
          </w:tcPr>
          <w:p>
            <w:pPr>
              <w:jc w:val="center"/>
              <w:rPr>
                <w:b/>
                <w:i/>
                <w:color w:val="0070C0"/>
                <w:sz w:val="28"/>
                <w:szCs w:val="28"/>
              </w:rPr>
            </w:pPr>
            <w:r>
              <w:rPr>
                <w:b/>
                <w:i/>
                <w:color w:val="0070C0"/>
                <w:sz w:val="28"/>
                <w:szCs w:val="28"/>
              </w:rPr>
              <w:t>41%</w:t>
            </w:r>
          </w:p>
        </w:tc>
        <w:tc>
          <w:tcPr>
            <w:tcW w:w="709" w:type="dxa"/>
            <w:vAlign w:val="center"/>
          </w:tcPr>
          <w:p>
            <w:pPr>
              <w:jc w:val="center"/>
              <w:rPr>
                <w:b/>
                <w:i/>
                <w:color w:val="000000" w:themeColor="text1"/>
                <w:sz w:val="28"/>
                <w:szCs w:val="28"/>
              </w:rPr>
            </w:pPr>
            <w:r>
              <w:rPr>
                <w:b/>
                <w:i/>
                <w:color w:val="000000" w:themeColor="text1"/>
                <w:sz w:val="28"/>
                <w:szCs w:val="28"/>
              </w:rPr>
              <w:t>80%</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20%</w:t>
            </w:r>
          </w:p>
        </w:tc>
        <w:tc>
          <w:tcPr>
            <w:tcW w:w="709" w:type="dxa"/>
            <w:tcBorders>
              <w:left w:val="single" w:sz="12" w:space="0" w:color="auto"/>
            </w:tcBorders>
          </w:tcPr>
          <w:p>
            <w:pPr>
              <w:jc w:val="center"/>
              <w:rPr>
                <w:b/>
                <w:i/>
                <w:color w:val="0070C0"/>
                <w:sz w:val="28"/>
                <w:szCs w:val="28"/>
              </w:rPr>
            </w:pPr>
            <w:r>
              <w:rPr>
                <w:b/>
                <w:i/>
                <w:color w:val="0070C0"/>
                <w:sz w:val="28"/>
                <w:szCs w:val="28"/>
              </w:rPr>
              <w:t>78%</w:t>
            </w:r>
          </w:p>
        </w:tc>
        <w:tc>
          <w:tcPr>
            <w:tcW w:w="736" w:type="dxa"/>
          </w:tcPr>
          <w:p>
            <w:pPr>
              <w:jc w:val="center"/>
              <w:rPr>
                <w:b/>
                <w:i/>
                <w:color w:val="0070C0"/>
                <w:sz w:val="28"/>
                <w:szCs w:val="28"/>
              </w:rPr>
            </w:pPr>
            <w:r>
              <w:rPr>
                <w:b/>
                <w:i/>
                <w:color w:val="0070C0"/>
                <w:sz w:val="28"/>
                <w:szCs w:val="28"/>
              </w:rPr>
              <w:t>50%</w:t>
            </w:r>
          </w:p>
        </w:tc>
        <w:tc>
          <w:tcPr>
            <w:tcW w:w="823" w:type="dxa"/>
          </w:tcPr>
          <w:p>
            <w:pPr>
              <w:jc w:val="center"/>
              <w:rPr>
                <w:b/>
                <w:i/>
                <w:color w:val="0070C0"/>
                <w:sz w:val="28"/>
                <w:szCs w:val="28"/>
              </w:rPr>
            </w:pPr>
            <w:r>
              <w:rPr>
                <w:b/>
                <w:i/>
                <w:color w:val="0070C0"/>
                <w:sz w:val="28"/>
                <w:szCs w:val="28"/>
              </w:rPr>
              <w:t>75%</w:t>
            </w:r>
          </w:p>
        </w:tc>
        <w:tc>
          <w:tcPr>
            <w:tcW w:w="709" w:type="dxa"/>
          </w:tcPr>
          <w:p>
            <w:pPr>
              <w:jc w:val="center"/>
              <w:rPr>
                <w:b/>
                <w:i/>
                <w:color w:val="000000" w:themeColor="text1"/>
                <w:sz w:val="28"/>
                <w:szCs w:val="28"/>
              </w:rPr>
            </w:pPr>
            <w:r>
              <w:rPr>
                <w:b/>
                <w:i/>
                <w:color w:val="000000" w:themeColor="text1"/>
                <w:sz w:val="28"/>
                <w:szCs w:val="28"/>
              </w:rPr>
              <w:t>80%</w:t>
            </w:r>
          </w:p>
        </w:tc>
        <w:tc>
          <w:tcPr>
            <w:tcW w:w="708" w:type="dxa"/>
          </w:tcPr>
          <w:p>
            <w:pPr>
              <w:jc w:val="center"/>
              <w:rPr>
                <w:b/>
                <w:i/>
                <w:color w:val="000000" w:themeColor="text1"/>
                <w:sz w:val="28"/>
                <w:szCs w:val="28"/>
              </w:rPr>
            </w:pPr>
            <w:r>
              <w:rPr>
                <w:b/>
                <w:i/>
                <w:color w:val="000000" w:themeColor="text1"/>
                <w:sz w:val="28"/>
                <w:szCs w:val="28"/>
              </w:rPr>
              <w:t>73%</w:t>
            </w:r>
          </w:p>
        </w:tc>
        <w:tc>
          <w:tcPr>
            <w:tcW w:w="709" w:type="dxa"/>
          </w:tcPr>
          <w:p>
            <w:pPr>
              <w:jc w:val="center"/>
              <w:rPr>
                <w:b/>
                <w:i/>
                <w:color w:val="000000" w:themeColor="text1"/>
                <w:sz w:val="28"/>
                <w:szCs w:val="28"/>
              </w:rPr>
            </w:pPr>
            <w:r>
              <w:rPr>
                <w:b/>
                <w:i/>
                <w:color w:val="000000" w:themeColor="text1"/>
                <w:sz w:val="28"/>
                <w:szCs w:val="28"/>
              </w:rPr>
              <w:t>87%</w:t>
            </w:r>
          </w:p>
        </w:tc>
      </w:tr>
      <w:tr>
        <w:tc>
          <w:tcPr>
            <w:tcW w:w="1524" w:type="dxa"/>
            <w:vAlign w:val="center"/>
          </w:tcPr>
          <w:p>
            <w:pPr>
              <w:jc w:val="center"/>
              <w:rPr>
                <w:b/>
                <w:i/>
                <w:sz w:val="24"/>
                <w:szCs w:val="24"/>
              </w:rPr>
            </w:pPr>
            <w:r>
              <w:rPr>
                <w:b/>
                <w:i/>
                <w:sz w:val="24"/>
                <w:szCs w:val="24"/>
              </w:rPr>
              <w:t>Humanities</w:t>
            </w:r>
          </w:p>
        </w:tc>
        <w:tc>
          <w:tcPr>
            <w:tcW w:w="711" w:type="dxa"/>
            <w:vAlign w:val="center"/>
          </w:tcPr>
          <w:p>
            <w:pPr>
              <w:jc w:val="center"/>
              <w:rPr>
                <w:b/>
                <w:i/>
                <w:color w:val="0070C0"/>
                <w:sz w:val="28"/>
                <w:szCs w:val="28"/>
              </w:rPr>
            </w:pPr>
            <w:r>
              <w:rPr>
                <w:b/>
                <w:i/>
                <w:color w:val="0070C0"/>
                <w:sz w:val="28"/>
                <w:szCs w:val="28"/>
              </w:rPr>
              <w:t>65%</w:t>
            </w:r>
          </w:p>
        </w:tc>
        <w:tc>
          <w:tcPr>
            <w:tcW w:w="708" w:type="dxa"/>
            <w:vAlign w:val="center"/>
          </w:tcPr>
          <w:p>
            <w:pPr>
              <w:jc w:val="center"/>
              <w:rPr>
                <w:b/>
                <w:i/>
                <w:color w:val="0070C0"/>
                <w:sz w:val="28"/>
                <w:szCs w:val="28"/>
              </w:rPr>
            </w:pPr>
            <w:r>
              <w:rPr>
                <w:b/>
                <w:i/>
                <w:color w:val="0070C0"/>
                <w:sz w:val="28"/>
                <w:szCs w:val="28"/>
              </w:rPr>
              <w:t>35%</w:t>
            </w:r>
          </w:p>
        </w:tc>
        <w:tc>
          <w:tcPr>
            <w:tcW w:w="709" w:type="dxa"/>
            <w:vAlign w:val="center"/>
          </w:tcPr>
          <w:p>
            <w:pPr>
              <w:jc w:val="center"/>
              <w:rPr>
                <w:b/>
                <w:i/>
                <w:color w:val="000000" w:themeColor="text1"/>
                <w:sz w:val="28"/>
                <w:szCs w:val="28"/>
              </w:rPr>
            </w:pPr>
            <w:r>
              <w:rPr>
                <w:b/>
                <w:i/>
                <w:color w:val="000000" w:themeColor="text1"/>
                <w:sz w:val="28"/>
                <w:szCs w:val="28"/>
              </w:rPr>
              <w:t>70%</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30%</w:t>
            </w:r>
          </w:p>
        </w:tc>
        <w:tc>
          <w:tcPr>
            <w:tcW w:w="709" w:type="dxa"/>
            <w:tcBorders>
              <w:left w:val="single" w:sz="12" w:space="0" w:color="auto"/>
            </w:tcBorders>
          </w:tcPr>
          <w:p>
            <w:pPr>
              <w:jc w:val="center"/>
              <w:rPr>
                <w:b/>
                <w:i/>
                <w:color w:val="0070C0"/>
                <w:sz w:val="28"/>
                <w:szCs w:val="28"/>
              </w:rPr>
            </w:pPr>
            <w:r>
              <w:rPr>
                <w:b/>
                <w:i/>
                <w:color w:val="0070C0"/>
                <w:sz w:val="28"/>
                <w:szCs w:val="28"/>
              </w:rPr>
              <w:t>87%</w:t>
            </w:r>
          </w:p>
        </w:tc>
        <w:tc>
          <w:tcPr>
            <w:tcW w:w="736" w:type="dxa"/>
          </w:tcPr>
          <w:p>
            <w:pPr>
              <w:jc w:val="center"/>
              <w:rPr>
                <w:b/>
                <w:i/>
                <w:color w:val="0070C0"/>
                <w:sz w:val="28"/>
                <w:szCs w:val="28"/>
              </w:rPr>
            </w:pPr>
            <w:r>
              <w:rPr>
                <w:b/>
                <w:i/>
                <w:color w:val="0070C0"/>
                <w:sz w:val="28"/>
                <w:szCs w:val="28"/>
              </w:rPr>
              <w:t>58%</w:t>
            </w:r>
          </w:p>
        </w:tc>
        <w:tc>
          <w:tcPr>
            <w:tcW w:w="823" w:type="dxa"/>
          </w:tcPr>
          <w:p>
            <w:pPr>
              <w:jc w:val="center"/>
              <w:rPr>
                <w:b/>
                <w:i/>
                <w:color w:val="0070C0"/>
                <w:sz w:val="28"/>
                <w:szCs w:val="28"/>
              </w:rPr>
            </w:pPr>
            <w:r>
              <w:rPr>
                <w:b/>
                <w:i/>
                <w:color w:val="0070C0"/>
                <w:sz w:val="28"/>
                <w:szCs w:val="28"/>
              </w:rPr>
              <w:t>N\A</w:t>
            </w:r>
          </w:p>
        </w:tc>
        <w:tc>
          <w:tcPr>
            <w:tcW w:w="709" w:type="dxa"/>
          </w:tcPr>
          <w:p>
            <w:pPr>
              <w:jc w:val="center"/>
              <w:rPr>
                <w:b/>
                <w:i/>
                <w:color w:val="000000" w:themeColor="text1"/>
                <w:sz w:val="28"/>
                <w:szCs w:val="28"/>
              </w:rPr>
            </w:pPr>
            <w:r>
              <w:rPr>
                <w:b/>
                <w:i/>
                <w:color w:val="000000" w:themeColor="text1"/>
                <w:sz w:val="28"/>
                <w:szCs w:val="28"/>
              </w:rPr>
              <w:t>90%</w:t>
            </w:r>
          </w:p>
        </w:tc>
        <w:tc>
          <w:tcPr>
            <w:tcW w:w="708" w:type="dxa"/>
          </w:tcPr>
          <w:p>
            <w:pPr>
              <w:jc w:val="center"/>
              <w:rPr>
                <w:b/>
                <w:i/>
                <w:color w:val="000000" w:themeColor="text1"/>
                <w:sz w:val="28"/>
                <w:szCs w:val="28"/>
              </w:rPr>
            </w:pPr>
            <w:r>
              <w:rPr>
                <w:b/>
                <w:i/>
                <w:color w:val="000000" w:themeColor="text1"/>
                <w:sz w:val="28"/>
                <w:szCs w:val="28"/>
              </w:rPr>
              <w:t>73%</w:t>
            </w:r>
          </w:p>
        </w:tc>
        <w:tc>
          <w:tcPr>
            <w:tcW w:w="709" w:type="dxa"/>
          </w:tcPr>
          <w:p>
            <w:pPr>
              <w:jc w:val="center"/>
              <w:rPr>
                <w:b/>
                <w:i/>
                <w:color w:val="000000" w:themeColor="text1"/>
                <w:sz w:val="28"/>
                <w:szCs w:val="28"/>
              </w:rPr>
            </w:pPr>
            <w:r>
              <w:rPr>
                <w:b/>
                <w:i/>
                <w:color w:val="000000" w:themeColor="text1"/>
                <w:sz w:val="28"/>
                <w:szCs w:val="28"/>
              </w:rPr>
              <w:t>N\A</w:t>
            </w:r>
          </w:p>
        </w:tc>
      </w:tr>
      <w:tr>
        <w:tc>
          <w:tcPr>
            <w:tcW w:w="1524" w:type="dxa"/>
            <w:vAlign w:val="center"/>
          </w:tcPr>
          <w:p>
            <w:pPr>
              <w:jc w:val="center"/>
              <w:rPr>
                <w:b/>
                <w:i/>
                <w:sz w:val="28"/>
                <w:szCs w:val="28"/>
              </w:rPr>
            </w:pPr>
            <w:r>
              <w:rPr>
                <w:b/>
                <w:i/>
                <w:sz w:val="28"/>
                <w:szCs w:val="28"/>
              </w:rPr>
              <w:t>Music</w:t>
            </w:r>
          </w:p>
        </w:tc>
        <w:tc>
          <w:tcPr>
            <w:tcW w:w="711" w:type="dxa"/>
            <w:vAlign w:val="center"/>
          </w:tcPr>
          <w:p>
            <w:pPr>
              <w:jc w:val="center"/>
              <w:rPr>
                <w:b/>
                <w:i/>
                <w:color w:val="0070C0"/>
                <w:sz w:val="28"/>
                <w:szCs w:val="28"/>
              </w:rPr>
            </w:pPr>
            <w:r>
              <w:rPr>
                <w:b/>
                <w:i/>
                <w:color w:val="0070C0"/>
                <w:sz w:val="28"/>
                <w:szCs w:val="28"/>
              </w:rPr>
              <w:t>N\A</w:t>
            </w:r>
          </w:p>
        </w:tc>
        <w:tc>
          <w:tcPr>
            <w:tcW w:w="708" w:type="dxa"/>
            <w:vAlign w:val="center"/>
          </w:tcPr>
          <w:p>
            <w:pPr>
              <w:jc w:val="center"/>
              <w:rPr>
                <w:b/>
                <w:i/>
                <w:color w:val="0070C0"/>
                <w:sz w:val="28"/>
                <w:szCs w:val="28"/>
              </w:rPr>
            </w:pPr>
            <w:r>
              <w:rPr>
                <w:b/>
                <w:i/>
                <w:color w:val="0070C0"/>
                <w:sz w:val="28"/>
                <w:szCs w:val="28"/>
              </w:rPr>
              <w:t>N\A</w:t>
            </w:r>
          </w:p>
        </w:tc>
        <w:tc>
          <w:tcPr>
            <w:tcW w:w="709" w:type="dxa"/>
            <w:vAlign w:val="center"/>
          </w:tcPr>
          <w:p>
            <w:pPr>
              <w:jc w:val="center"/>
              <w:rPr>
                <w:b/>
                <w:i/>
                <w:color w:val="000000" w:themeColor="text1"/>
                <w:sz w:val="28"/>
                <w:szCs w:val="28"/>
              </w:rPr>
            </w:pPr>
            <w:r>
              <w:rPr>
                <w:b/>
                <w:i/>
                <w:color w:val="000000" w:themeColor="text1"/>
                <w:sz w:val="28"/>
                <w:szCs w:val="28"/>
              </w:rPr>
              <w:t>N\A</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N\A</w:t>
            </w:r>
          </w:p>
        </w:tc>
        <w:tc>
          <w:tcPr>
            <w:tcW w:w="709" w:type="dxa"/>
            <w:tcBorders>
              <w:left w:val="single" w:sz="12" w:space="0" w:color="auto"/>
            </w:tcBorders>
          </w:tcPr>
          <w:p>
            <w:r>
              <w:rPr>
                <w:b/>
                <w:i/>
                <w:color w:val="0070C0"/>
                <w:sz w:val="28"/>
                <w:szCs w:val="28"/>
              </w:rPr>
              <w:t>N\A</w:t>
            </w:r>
          </w:p>
        </w:tc>
        <w:tc>
          <w:tcPr>
            <w:tcW w:w="736" w:type="dxa"/>
          </w:tcPr>
          <w:p>
            <w:r>
              <w:rPr>
                <w:b/>
                <w:i/>
                <w:color w:val="0070C0"/>
                <w:sz w:val="28"/>
                <w:szCs w:val="28"/>
              </w:rPr>
              <w:t>N\A</w:t>
            </w:r>
          </w:p>
        </w:tc>
        <w:tc>
          <w:tcPr>
            <w:tcW w:w="823" w:type="dxa"/>
          </w:tcPr>
          <w:p>
            <w:r>
              <w:rPr>
                <w:b/>
                <w:i/>
                <w:color w:val="0070C0"/>
                <w:sz w:val="28"/>
                <w:szCs w:val="28"/>
              </w:rPr>
              <w:t>N\A</w:t>
            </w:r>
          </w:p>
        </w:tc>
        <w:tc>
          <w:tcPr>
            <w:tcW w:w="709" w:type="dxa"/>
          </w:tcPr>
          <w:p>
            <w:pPr>
              <w:jc w:val="center"/>
              <w:rPr>
                <w:b/>
                <w:i/>
                <w:color w:val="000000" w:themeColor="text1"/>
                <w:sz w:val="28"/>
                <w:szCs w:val="28"/>
              </w:rPr>
            </w:pPr>
            <w:r>
              <w:rPr>
                <w:b/>
                <w:i/>
                <w:color w:val="000000" w:themeColor="text1"/>
                <w:sz w:val="28"/>
                <w:szCs w:val="28"/>
              </w:rPr>
              <w:t>N\A</w:t>
            </w:r>
          </w:p>
        </w:tc>
        <w:tc>
          <w:tcPr>
            <w:tcW w:w="708" w:type="dxa"/>
          </w:tcPr>
          <w:p>
            <w:pPr>
              <w:jc w:val="center"/>
              <w:rPr>
                <w:b/>
                <w:i/>
                <w:color w:val="000000" w:themeColor="text1"/>
                <w:sz w:val="28"/>
                <w:szCs w:val="28"/>
              </w:rPr>
            </w:pPr>
            <w:r>
              <w:rPr>
                <w:b/>
                <w:i/>
                <w:color w:val="000000" w:themeColor="text1"/>
                <w:sz w:val="28"/>
                <w:szCs w:val="28"/>
              </w:rPr>
              <w:t>N\A</w:t>
            </w:r>
          </w:p>
        </w:tc>
        <w:tc>
          <w:tcPr>
            <w:tcW w:w="709" w:type="dxa"/>
          </w:tcPr>
          <w:p>
            <w:pPr>
              <w:jc w:val="center"/>
              <w:rPr>
                <w:b/>
                <w:i/>
                <w:color w:val="000000" w:themeColor="text1"/>
                <w:sz w:val="28"/>
                <w:szCs w:val="28"/>
              </w:rPr>
            </w:pPr>
            <w:r>
              <w:rPr>
                <w:b/>
                <w:i/>
                <w:color w:val="000000" w:themeColor="text1"/>
                <w:sz w:val="28"/>
                <w:szCs w:val="28"/>
              </w:rPr>
              <w:t>100%</w:t>
            </w:r>
          </w:p>
        </w:tc>
      </w:tr>
      <w:tr>
        <w:tc>
          <w:tcPr>
            <w:tcW w:w="1524" w:type="dxa"/>
            <w:vAlign w:val="center"/>
          </w:tcPr>
          <w:p>
            <w:pPr>
              <w:jc w:val="center"/>
              <w:rPr>
                <w:b/>
                <w:i/>
                <w:sz w:val="28"/>
                <w:szCs w:val="28"/>
              </w:rPr>
            </w:pPr>
            <w:r>
              <w:rPr>
                <w:b/>
                <w:i/>
                <w:sz w:val="28"/>
                <w:szCs w:val="28"/>
              </w:rPr>
              <w:t>PHSE</w:t>
            </w:r>
          </w:p>
        </w:tc>
        <w:tc>
          <w:tcPr>
            <w:tcW w:w="711" w:type="dxa"/>
            <w:vAlign w:val="center"/>
          </w:tcPr>
          <w:p>
            <w:pPr>
              <w:jc w:val="center"/>
              <w:rPr>
                <w:b/>
                <w:i/>
                <w:color w:val="0070C0"/>
                <w:sz w:val="28"/>
                <w:szCs w:val="28"/>
              </w:rPr>
            </w:pPr>
            <w:r>
              <w:rPr>
                <w:b/>
                <w:i/>
                <w:color w:val="0070C0"/>
                <w:sz w:val="28"/>
                <w:szCs w:val="28"/>
              </w:rPr>
              <w:t>57%</w:t>
            </w:r>
          </w:p>
        </w:tc>
        <w:tc>
          <w:tcPr>
            <w:tcW w:w="708" w:type="dxa"/>
            <w:vAlign w:val="center"/>
          </w:tcPr>
          <w:p>
            <w:pPr>
              <w:jc w:val="center"/>
              <w:rPr>
                <w:b/>
                <w:i/>
                <w:color w:val="0070C0"/>
                <w:sz w:val="28"/>
                <w:szCs w:val="28"/>
              </w:rPr>
            </w:pPr>
            <w:r>
              <w:rPr>
                <w:b/>
                <w:i/>
                <w:color w:val="0070C0"/>
                <w:sz w:val="28"/>
                <w:szCs w:val="28"/>
              </w:rPr>
              <w:t>43%</w:t>
            </w:r>
          </w:p>
        </w:tc>
        <w:tc>
          <w:tcPr>
            <w:tcW w:w="709" w:type="dxa"/>
            <w:vAlign w:val="center"/>
          </w:tcPr>
          <w:p>
            <w:pPr>
              <w:jc w:val="center"/>
              <w:rPr>
                <w:b/>
                <w:i/>
                <w:color w:val="000000" w:themeColor="text1"/>
                <w:sz w:val="28"/>
                <w:szCs w:val="28"/>
              </w:rPr>
            </w:pPr>
            <w:r>
              <w:rPr>
                <w:b/>
                <w:i/>
                <w:color w:val="000000" w:themeColor="text1"/>
                <w:sz w:val="28"/>
                <w:szCs w:val="28"/>
              </w:rPr>
              <w:t>65%</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35%</w:t>
            </w:r>
          </w:p>
        </w:tc>
        <w:tc>
          <w:tcPr>
            <w:tcW w:w="709" w:type="dxa"/>
            <w:tcBorders>
              <w:left w:val="single" w:sz="12" w:space="0" w:color="auto"/>
            </w:tcBorders>
          </w:tcPr>
          <w:p>
            <w:pPr>
              <w:jc w:val="center"/>
              <w:rPr>
                <w:b/>
                <w:i/>
                <w:color w:val="0070C0"/>
                <w:sz w:val="28"/>
                <w:szCs w:val="28"/>
              </w:rPr>
            </w:pPr>
            <w:r>
              <w:rPr>
                <w:b/>
                <w:i/>
                <w:color w:val="0070C0"/>
                <w:sz w:val="28"/>
                <w:szCs w:val="28"/>
              </w:rPr>
              <w:t>75%</w:t>
            </w:r>
          </w:p>
        </w:tc>
        <w:tc>
          <w:tcPr>
            <w:tcW w:w="736" w:type="dxa"/>
          </w:tcPr>
          <w:p>
            <w:pPr>
              <w:jc w:val="center"/>
              <w:rPr>
                <w:b/>
                <w:i/>
                <w:color w:val="0070C0"/>
                <w:sz w:val="28"/>
                <w:szCs w:val="28"/>
              </w:rPr>
            </w:pPr>
            <w:r>
              <w:rPr>
                <w:b/>
                <w:i/>
                <w:color w:val="0070C0"/>
                <w:sz w:val="28"/>
                <w:szCs w:val="28"/>
              </w:rPr>
              <w:t xml:space="preserve">50%  </w:t>
            </w:r>
          </w:p>
        </w:tc>
        <w:tc>
          <w:tcPr>
            <w:tcW w:w="823" w:type="dxa"/>
          </w:tcPr>
          <w:p>
            <w:pPr>
              <w:jc w:val="center"/>
              <w:rPr>
                <w:b/>
                <w:i/>
                <w:color w:val="0070C0"/>
                <w:sz w:val="28"/>
                <w:szCs w:val="28"/>
              </w:rPr>
            </w:pPr>
            <w:r>
              <w:rPr>
                <w:b/>
                <w:i/>
                <w:color w:val="0070C0"/>
                <w:sz w:val="28"/>
                <w:szCs w:val="28"/>
              </w:rPr>
              <w:t>N\A</w:t>
            </w:r>
          </w:p>
        </w:tc>
        <w:tc>
          <w:tcPr>
            <w:tcW w:w="709" w:type="dxa"/>
          </w:tcPr>
          <w:p>
            <w:pPr>
              <w:jc w:val="center"/>
              <w:rPr>
                <w:b/>
                <w:i/>
                <w:color w:val="000000" w:themeColor="text1"/>
                <w:sz w:val="28"/>
                <w:szCs w:val="28"/>
              </w:rPr>
            </w:pPr>
            <w:r>
              <w:rPr>
                <w:b/>
                <w:i/>
                <w:color w:val="000000" w:themeColor="text1"/>
                <w:sz w:val="28"/>
                <w:szCs w:val="28"/>
              </w:rPr>
              <w:t>85%</w:t>
            </w:r>
          </w:p>
        </w:tc>
        <w:tc>
          <w:tcPr>
            <w:tcW w:w="708" w:type="dxa"/>
          </w:tcPr>
          <w:p>
            <w:pPr>
              <w:jc w:val="center"/>
              <w:rPr>
                <w:b/>
                <w:i/>
                <w:color w:val="000000" w:themeColor="text1"/>
                <w:sz w:val="28"/>
                <w:szCs w:val="28"/>
              </w:rPr>
            </w:pPr>
            <w:r>
              <w:rPr>
                <w:b/>
                <w:i/>
                <w:color w:val="000000" w:themeColor="text1"/>
                <w:sz w:val="28"/>
                <w:szCs w:val="28"/>
              </w:rPr>
              <w:t>66%</w:t>
            </w:r>
          </w:p>
        </w:tc>
        <w:tc>
          <w:tcPr>
            <w:tcW w:w="709" w:type="dxa"/>
          </w:tcPr>
          <w:p>
            <w:pPr>
              <w:jc w:val="center"/>
              <w:rPr>
                <w:b/>
                <w:i/>
                <w:color w:val="000000" w:themeColor="text1"/>
                <w:sz w:val="28"/>
                <w:szCs w:val="28"/>
              </w:rPr>
            </w:pPr>
            <w:r>
              <w:rPr>
                <w:b/>
                <w:i/>
                <w:color w:val="000000" w:themeColor="text1"/>
                <w:sz w:val="28"/>
                <w:szCs w:val="28"/>
              </w:rPr>
              <w:t>N\A</w:t>
            </w:r>
          </w:p>
        </w:tc>
      </w:tr>
      <w:tr>
        <w:tc>
          <w:tcPr>
            <w:tcW w:w="1524" w:type="dxa"/>
            <w:vAlign w:val="center"/>
          </w:tcPr>
          <w:p>
            <w:pPr>
              <w:jc w:val="center"/>
              <w:rPr>
                <w:b/>
                <w:i/>
                <w:sz w:val="28"/>
                <w:szCs w:val="28"/>
              </w:rPr>
            </w:pPr>
            <w:r>
              <w:rPr>
                <w:b/>
                <w:i/>
                <w:sz w:val="28"/>
                <w:szCs w:val="28"/>
              </w:rPr>
              <w:t>DT Food</w:t>
            </w:r>
          </w:p>
        </w:tc>
        <w:tc>
          <w:tcPr>
            <w:tcW w:w="711" w:type="dxa"/>
            <w:vAlign w:val="center"/>
          </w:tcPr>
          <w:p>
            <w:pPr>
              <w:jc w:val="center"/>
              <w:rPr>
                <w:b/>
                <w:i/>
                <w:color w:val="0070C0"/>
                <w:sz w:val="28"/>
                <w:szCs w:val="28"/>
              </w:rPr>
            </w:pPr>
            <w:r>
              <w:rPr>
                <w:b/>
                <w:i/>
                <w:color w:val="0070C0"/>
                <w:sz w:val="28"/>
                <w:szCs w:val="28"/>
              </w:rPr>
              <w:t>60%</w:t>
            </w:r>
          </w:p>
        </w:tc>
        <w:tc>
          <w:tcPr>
            <w:tcW w:w="708" w:type="dxa"/>
            <w:vAlign w:val="center"/>
          </w:tcPr>
          <w:p>
            <w:pPr>
              <w:jc w:val="center"/>
              <w:rPr>
                <w:b/>
                <w:i/>
                <w:color w:val="0070C0"/>
                <w:sz w:val="28"/>
                <w:szCs w:val="28"/>
              </w:rPr>
            </w:pPr>
            <w:r>
              <w:rPr>
                <w:b/>
                <w:i/>
                <w:color w:val="0070C0"/>
                <w:sz w:val="28"/>
                <w:szCs w:val="28"/>
              </w:rPr>
              <w:t>40%</w:t>
            </w:r>
          </w:p>
        </w:tc>
        <w:tc>
          <w:tcPr>
            <w:tcW w:w="709" w:type="dxa"/>
            <w:vAlign w:val="center"/>
          </w:tcPr>
          <w:p>
            <w:pPr>
              <w:jc w:val="center"/>
              <w:rPr>
                <w:b/>
                <w:i/>
                <w:color w:val="000000" w:themeColor="text1"/>
                <w:sz w:val="28"/>
                <w:szCs w:val="28"/>
              </w:rPr>
            </w:pPr>
            <w:r>
              <w:rPr>
                <w:b/>
                <w:i/>
                <w:color w:val="000000" w:themeColor="text1"/>
                <w:sz w:val="28"/>
                <w:szCs w:val="28"/>
              </w:rPr>
              <w:t>68%</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32%</w:t>
            </w:r>
          </w:p>
        </w:tc>
        <w:tc>
          <w:tcPr>
            <w:tcW w:w="709" w:type="dxa"/>
            <w:tcBorders>
              <w:left w:val="single" w:sz="12" w:space="0" w:color="auto"/>
            </w:tcBorders>
          </w:tcPr>
          <w:p>
            <w:pPr>
              <w:jc w:val="center"/>
              <w:rPr>
                <w:b/>
                <w:i/>
                <w:color w:val="0070C0"/>
                <w:sz w:val="28"/>
                <w:szCs w:val="28"/>
              </w:rPr>
            </w:pPr>
          </w:p>
        </w:tc>
        <w:tc>
          <w:tcPr>
            <w:tcW w:w="736" w:type="dxa"/>
          </w:tcPr>
          <w:p>
            <w:pPr>
              <w:jc w:val="center"/>
              <w:rPr>
                <w:b/>
                <w:i/>
                <w:color w:val="0070C0"/>
                <w:sz w:val="28"/>
                <w:szCs w:val="28"/>
              </w:rPr>
            </w:pPr>
            <w:r>
              <w:rPr>
                <w:b/>
                <w:i/>
                <w:color w:val="0070C0"/>
                <w:sz w:val="28"/>
                <w:szCs w:val="28"/>
              </w:rPr>
              <w:t>58%</w:t>
            </w:r>
          </w:p>
        </w:tc>
        <w:tc>
          <w:tcPr>
            <w:tcW w:w="823" w:type="dxa"/>
          </w:tcPr>
          <w:p>
            <w:pPr>
              <w:jc w:val="center"/>
              <w:rPr>
                <w:b/>
                <w:i/>
                <w:color w:val="0070C0"/>
                <w:sz w:val="28"/>
                <w:szCs w:val="28"/>
              </w:rPr>
            </w:pPr>
            <w:r>
              <w:rPr>
                <w:b/>
                <w:i/>
                <w:color w:val="0070C0"/>
                <w:sz w:val="28"/>
                <w:szCs w:val="28"/>
              </w:rPr>
              <w:t>75%</w:t>
            </w:r>
          </w:p>
        </w:tc>
        <w:tc>
          <w:tcPr>
            <w:tcW w:w="709" w:type="dxa"/>
          </w:tcPr>
          <w:p>
            <w:pPr>
              <w:jc w:val="center"/>
              <w:rPr>
                <w:b/>
                <w:i/>
                <w:color w:val="000000" w:themeColor="text1"/>
                <w:sz w:val="28"/>
                <w:szCs w:val="28"/>
              </w:rPr>
            </w:pPr>
            <w:r>
              <w:rPr>
                <w:b/>
                <w:i/>
                <w:color w:val="000000" w:themeColor="text1"/>
                <w:sz w:val="28"/>
                <w:szCs w:val="28"/>
              </w:rPr>
              <w:t>81%</w:t>
            </w:r>
          </w:p>
        </w:tc>
        <w:tc>
          <w:tcPr>
            <w:tcW w:w="708" w:type="dxa"/>
          </w:tcPr>
          <w:p>
            <w:pPr>
              <w:jc w:val="center"/>
              <w:rPr>
                <w:b/>
                <w:i/>
                <w:color w:val="000000" w:themeColor="text1"/>
                <w:sz w:val="28"/>
                <w:szCs w:val="28"/>
              </w:rPr>
            </w:pPr>
            <w:r>
              <w:rPr>
                <w:b/>
                <w:i/>
                <w:color w:val="000000" w:themeColor="text1"/>
                <w:sz w:val="28"/>
                <w:szCs w:val="28"/>
              </w:rPr>
              <w:t>57%</w:t>
            </w:r>
          </w:p>
        </w:tc>
        <w:tc>
          <w:tcPr>
            <w:tcW w:w="709" w:type="dxa"/>
          </w:tcPr>
          <w:p>
            <w:pPr>
              <w:jc w:val="center"/>
              <w:rPr>
                <w:b/>
                <w:i/>
                <w:color w:val="000000" w:themeColor="text1"/>
                <w:sz w:val="28"/>
                <w:szCs w:val="28"/>
              </w:rPr>
            </w:pPr>
            <w:r>
              <w:rPr>
                <w:b/>
                <w:i/>
                <w:color w:val="000000" w:themeColor="text1"/>
                <w:sz w:val="28"/>
                <w:szCs w:val="28"/>
              </w:rPr>
              <w:t>47%</w:t>
            </w:r>
          </w:p>
        </w:tc>
      </w:tr>
      <w:tr>
        <w:tc>
          <w:tcPr>
            <w:tcW w:w="1524" w:type="dxa"/>
            <w:vAlign w:val="center"/>
          </w:tcPr>
          <w:p>
            <w:pPr>
              <w:jc w:val="center"/>
              <w:rPr>
                <w:b/>
                <w:i/>
                <w:sz w:val="24"/>
                <w:szCs w:val="24"/>
              </w:rPr>
            </w:pPr>
            <w:r>
              <w:rPr>
                <w:b/>
                <w:i/>
                <w:sz w:val="24"/>
                <w:szCs w:val="24"/>
              </w:rPr>
              <w:t>DOE/</w:t>
            </w:r>
          </w:p>
          <w:p>
            <w:pPr>
              <w:jc w:val="center"/>
              <w:rPr>
                <w:b/>
                <w:i/>
                <w:sz w:val="28"/>
                <w:szCs w:val="28"/>
              </w:rPr>
            </w:pPr>
            <w:r>
              <w:rPr>
                <w:b/>
                <w:i/>
                <w:sz w:val="24"/>
                <w:szCs w:val="24"/>
              </w:rPr>
              <w:t>Outdoor Ed</w:t>
            </w:r>
          </w:p>
        </w:tc>
        <w:tc>
          <w:tcPr>
            <w:tcW w:w="711" w:type="dxa"/>
            <w:vAlign w:val="center"/>
          </w:tcPr>
          <w:p>
            <w:pPr>
              <w:jc w:val="center"/>
              <w:rPr>
                <w:b/>
                <w:i/>
                <w:color w:val="0070C0"/>
                <w:sz w:val="28"/>
                <w:szCs w:val="28"/>
              </w:rPr>
            </w:pPr>
            <w:r>
              <w:rPr>
                <w:b/>
                <w:i/>
                <w:color w:val="0070C0"/>
                <w:sz w:val="28"/>
                <w:szCs w:val="28"/>
              </w:rPr>
              <w:t>76%</w:t>
            </w:r>
          </w:p>
        </w:tc>
        <w:tc>
          <w:tcPr>
            <w:tcW w:w="708" w:type="dxa"/>
            <w:vAlign w:val="center"/>
          </w:tcPr>
          <w:p>
            <w:pPr>
              <w:jc w:val="center"/>
              <w:rPr>
                <w:b/>
                <w:i/>
                <w:color w:val="0070C0"/>
                <w:sz w:val="28"/>
                <w:szCs w:val="28"/>
              </w:rPr>
            </w:pPr>
            <w:r>
              <w:rPr>
                <w:b/>
                <w:i/>
                <w:color w:val="0070C0"/>
                <w:sz w:val="28"/>
                <w:szCs w:val="28"/>
              </w:rPr>
              <w:t>24%</w:t>
            </w:r>
          </w:p>
        </w:tc>
        <w:tc>
          <w:tcPr>
            <w:tcW w:w="709" w:type="dxa"/>
            <w:vAlign w:val="center"/>
          </w:tcPr>
          <w:p>
            <w:pPr>
              <w:jc w:val="center"/>
              <w:rPr>
                <w:b/>
                <w:i/>
                <w:color w:val="000000" w:themeColor="text1"/>
                <w:sz w:val="28"/>
                <w:szCs w:val="28"/>
              </w:rPr>
            </w:pPr>
            <w:r>
              <w:rPr>
                <w:b/>
                <w:i/>
                <w:color w:val="000000" w:themeColor="text1"/>
                <w:sz w:val="28"/>
                <w:szCs w:val="28"/>
              </w:rPr>
              <w:t>85%</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15%</w:t>
            </w:r>
          </w:p>
        </w:tc>
        <w:tc>
          <w:tcPr>
            <w:tcW w:w="709" w:type="dxa"/>
            <w:tcBorders>
              <w:left w:val="single" w:sz="12" w:space="0" w:color="auto"/>
            </w:tcBorders>
          </w:tcPr>
          <w:p>
            <w:pPr>
              <w:jc w:val="center"/>
              <w:rPr>
                <w:b/>
                <w:i/>
                <w:color w:val="0070C0"/>
                <w:sz w:val="28"/>
                <w:szCs w:val="28"/>
              </w:rPr>
            </w:pPr>
            <w:r>
              <w:rPr>
                <w:b/>
                <w:i/>
                <w:color w:val="0070C0"/>
                <w:sz w:val="28"/>
                <w:szCs w:val="28"/>
              </w:rPr>
              <w:t>88%</w:t>
            </w:r>
          </w:p>
        </w:tc>
        <w:tc>
          <w:tcPr>
            <w:tcW w:w="736" w:type="dxa"/>
          </w:tcPr>
          <w:p>
            <w:pPr>
              <w:jc w:val="center"/>
              <w:rPr>
                <w:b/>
                <w:i/>
                <w:color w:val="0070C0"/>
                <w:sz w:val="28"/>
                <w:szCs w:val="28"/>
              </w:rPr>
            </w:pPr>
            <w:r>
              <w:rPr>
                <w:b/>
                <w:i/>
                <w:color w:val="0070C0"/>
                <w:sz w:val="28"/>
                <w:szCs w:val="28"/>
              </w:rPr>
              <w:t>75%</w:t>
            </w:r>
          </w:p>
        </w:tc>
        <w:tc>
          <w:tcPr>
            <w:tcW w:w="823" w:type="dxa"/>
          </w:tcPr>
          <w:p>
            <w:pPr>
              <w:jc w:val="center"/>
              <w:rPr>
                <w:b/>
                <w:i/>
                <w:color w:val="0070C0"/>
                <w:sz w:val="28"/>
                <w:szCs w:val="28"/>
              </w:rPr>
            </w:pPr>
            <w:r>
              <w:rPr>
                <w:b/>
                <w:i/>
                <w:color w:val="0070C0"/>
                <w:sz w:val="28"/>
                <w:szCs w:val="28"/>
              </w:rPr>
              <w:t>73%</w:t>
            </w:r>
          </w:p>
        </w:tc>
        <w:tc>
          <w:tcPr>
            <w:tcW w:w="709" w:type="dxa"/>
          </w:tcPr>
          <w:p>
            <w:pPr>
              <w:jc w:val="center"/>
              <w:rPr>
                <w:b/>
                <w:i/>
                <w:color w:val="000000" w:themeColor="text1"/>
                <w:sz w:val="28"/>
                <w:szCs w:val="28"/>
              </w:rPr>
            </w:pPr>
            <w:r>
              <w:rPr>
                <w:b/>
                <w:i/>
                <w:color w:val="000000" w:themeColor="text1"/>
                <w:sz w:val="28"/>
                <w:szCs w:val="28"/>
              </w:rPr>
              <w:t>75%</w:t>
            </w:r>
          </w:p>
        </w:tc>
        <w:tc>
          <w:tcPr>
            <w:tcW w:w="708" w:type="dxa"/>
          </w:tcPr>
          <w:p>
            <w:pPr>
              <w:jc w:val="center"/>
              <w:rPr>
                <w:b/>
                <w:i/>
                <w:color w:val="000000" w:themeColor="text1"/>
                <w:sz w:val="28"/>
                <w:szCs w:val="28"/>
              </w:rPr>
            </w:pPr>
            <w:r>
              <w:rPr>
                <w:b/>
                <w:i/>
                <w:color w:val="000000" w:themeColor="text1"/>
                <w:sz w:val="28"/>
                <w:szCs w:val="28"/>
              </w:rPr>
              <w:t>77%</w:t>
            </w:r>
          </w:p>
        </w:tc>
        <w:tc>
          <w:tcPr>
            <w:tcW w:w="709" w:type="dxa"/>
          </w:tcPr>
          <w:p>
            <w:pPr>
              <w:jc w:val="center"/>
              <w:rPr>
                <w:b/>
                <w:i/>
                <w:color w:val="000000" w:themeColor="text1"/>
                <w:sz w:val="28"/>
                <w:szCs w:val="28"/>
              </w:rPr>
            </w:pPr>
            <w:r>
              <w:rPr>
                <w:b/>
                <w:i/>
                <w:color w:val="000000" w:themeColor="text1"/>
                <w:sz w:val="28"/>
                <w:szCs w:val="28"/>
              </w:rPr>
              <w:t>89%</w:t>
            </w:r>
          </w:p>
        </w:tc>
      </w:tr>
      <w:tr>
        <w:tc>
          <w:tcPr>
            <w:tcW w:w="1524" w:type="dxa"/>
            <w:vAlign w:val="center"/>
          </w:tcPr>
          <w:p>
            <w:pPr>
              <w:jc w:val="center"/>
              <w:rPr>
                <w:b/>
                <w:i/>
                <w:sz w:val="23"/>
                <w:szCs w:val="23"/>
              </w:rPr>
            </w:pPr>
            <w:r>
              <w:rPr>
                <w:b/>
                <w:i/>
                <w:sz w:val="23"/>
                <w:szCs w:val="23"/>
              </w:rPr>
              <w:t>Employability</w:t>
            </w:r>
          </w:p>
        </w:tc>
        <w:tc>
          <w:tcPr>
            <w:tcW w:w="711" w:type="dxa"/>
            <w:vAlign w:val="center"/>
          </w:tcPr>
          <w:p>
            <w:pPr>
              <w:jc w:val="center"/>
              <w:rPr>
                <w:b/>
                <w:i/>
                <w:color w:val="0070C0"/>
                <w:sz w:val="28"/>
                <w:szCs w:val="28"/>
              </w:rPr>
            </w:pPr>
            <w:r>
              <w:rPr>
                <w:b/>
                <w:i/>
                <w:color w:val="0070C0"/>
                <w:sz w:val="28"/>
                <w:szCs w:val="28"/>
              </w:rPr>
              <w:t>55%</w:t>
            </w:r>
          </w:p>
        </w:tc>
        <w:tc>
          <w:tcPr>
            <w:tcW w:w="708" w:type="dxa"/>
            <w:vAlign w:val="center"/>
          </w:tcPr>
          <w:p>
            <w:pPr>
              <w:jc w:val="center"/>
              <w:rPr>
                <w:b/>
                <w:i/>
                <w:color w:val="0070C0"/>
                <w:sz w:val="28"/>
                <w:szCs w:val="28"/>
              </w:rPr>
            </w:pPr>
            <w:r>
              <w:rPr>
                <w:b/>
                <w:i/>
                <w:color w:val="0070C0"/>
                <w:sz w:val="28"/>
                <w:szCs w:val="28"/>
              </w:rPr>
              <w:t>45%</w:t>
            </w:r>
          </w:p>
        </w:tc>
        <w:tc>
          <w:tcPr>
            <w:tcW w:w="709" w:type="dxa"/>
            <w:vAlign w:val="center"/>
          </w:tcPr>
          <w:p>
            <w:pPr>
              <w:jc w:val="center"/>
              <w:rPr>
                <w:b/>
                <w:i/>
                <w:color w:val="000000" w:themeColor="text1"/>
                <w:sz w:val="28"/>
                <w:szCs w:val="28"/>
              </w:rPr>
            </w:pPr>
            <w:r>
              <w:rPr>
                <w:b/>
                <w:i/>
                <w:color w:val="000000" w:themeColor="text1"/>
                <w:sz w:val="28"/>
                <w:szCs w:val="28"/>
              </w:rPr>
              <w:t>53%</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47%</w:t>
            </w:r>
          </w:p>
        </w:tc>
        <w:tc>
          <w:tcPr>
            <w:tcW w:w="709" w:type="dxa"/>
            <w:tcBorders>
              <w:left w:val="single" w:sz="12" w:space="0" w:color="auto"/>
            </w:tcBorders>
          </w:tcPr>
          <w:p>
            <w:pPr>
              <w:jc w:val="center"/>
              <w:rPr>
                <w:b/>
                <w:i/>
                <w:color w:val="0070C0"/>
                <w:sz w:val="28"/>
                <w:szCs w:val="28"/>
              </w:rPr>
            </w:pPr>
          </w:p>
        </w:tc>
        <w:tc>
          <w:tcPr>
            <w:tcW w:w="736" w:type="dxa"/>
          </w:tcPr>
          <w:p>
            <w:pPr>
              <w:jc w:val="center"/>
              <w:rPr>
                <w:b/>
                <w:i/>
                <w:color w:val="0070C0"/>
                <w:sz w:val="28"/>
                <w:szCs w:val="28"/>
              </w:rPr>
            </w:pPr>
          </w:p>
        </w:tc>
        <w:tc>
          <w:tcPr>
            <w:tcW w:w="823" w:type="dxa"/>
          </w:tcPr>
          <w:p>
            <w:pPr>
              <w:jc w:val="center"/>
              <w:rPr>
                <w:b/>
                <w:i/>
                <w:color w:val="0070C0"/>
                <w:sz w:val="28"/>
                <w:szCs w:val="28"/>
              </w:rPr>
            </w:pPr>
            <w:r>
              <w:rPr>
                <w:b/>
                <w:i/>
                <w:color w:val="0070C0"/>
                <w:sz w:val="28"/>
                <w:szCs w:val="28"/>
              </w:rPr>
              <w:t>55%</w:t>
            </w:r>
          </w:p>
        </w:tc>
        <w:tc>
          <w:tcPr>
            <w:tcW w:w="709" w:type="dxa"/>
          </w:tcPr>
          <w:p>
            <w:pPr>
              <w:jc w:val="center"/>
              <w:rPr>
                <w:b/>
                <w:i/>
                <w:color w:val="000000" w:themeColor="text1"/>
                <w:sz w:val="28"/>
                <w:szCs w:val="28"/>
              </w:rPr>
            </w:pPr>
            <w:r>
              <w:rPr>
                <w:b/>
                <w:i/>
                <w:color w:val="000000" w:themeColor="text1"/>
                <w:sz w:val="28"/>
                <w:szCs w:val="28"/>
              </w:rPr>
              <w:t>N\A</w:t>
            </w:r>
          </w:p>
        </w:tc>
        <w:tc>
          <w:tcPr>
            <w:tcW w:w="708" w:type="dxa"/>
          </w:tcPr>
          <w:p>
            <w:pPr>
              <w:jc w:val="center"/>
              <w:rPr>
                <w:b/>
                <w:i/>
                <w:color w:val="000000" w:themeColor="text1"/>
                <w:sz w:val="28"/>
                <w:szCs w:val="28"/>
              </w:rPr>
            </w:pPr>
            <w:r>
              <w:rPr>
                <w:b/>
                <w:i/>
                <w:color w:val="000000" w:themeColor="text1"/>
                <w:sz w:val="28"/>
                <w:szCs w:val="28"/>
              </w:rPr>
              <w:t>N\A</w:t>
            </w:r>
          </w:p>
        </w:tc>
        <w:tc>
          <w:tcPr>
            <w:tcW w:w="709" w:type="dxa"/>
          </w:tcPr>
          <w:p>
            <w:pPr>
              <w:jc w:val="center"/>
              <w:rPr>
                <w:b/>
                <w:i/>
                <w:color w:val="000000" w:themeColor="text1"/>
                <w:sz w:val="28"/>
                <w:szCs w:val="28"/>
              </w:rPr>
            </w:pPr>
            <w:r>
              <w:rPr>
                <w:b/>
                <w:i/>
                <w:color w:val="000000" w:themeColor="text1"/>
                <w:sz w:val="28"/>
                <w:szCs w:val="28"/>
              </w:rPr>
              <w:t>55%</w:t>
            </w:r>
          </w:p>
        </w:tc>
      </w:tr>
      <w:tr>
        <w:tc>
          <w:tcPr>
            <w:tcW w:w="1524" w:type="dxa"/>
            <w:vAlign w:val="center"/>
          </w:tcPr>
          <w:p>
            <w:pPr>
              <w:jc w:val="center"/>
              <w:rPr>
                <w:b/>
                <w:i/>
                <w:sz w:val="28"/>
                <w:szCs w:val="28"/>
              </w:rPr>
            </w:pPr>
            <w:r>
              <w:rPr>
                <w:b/>
                <w:i/>
                <w:sz w:val="28"/>
                <w:szCs w:val="28"/>
              </w:rPr>
              <w:t>MFL</w:t>
            </w:r>
          </w:p>
        </w:tc>
        <w:tc>
          <w:tcPr>
            <w:tcW w:w="711" w:type="dxa"/>
            <w:vAlign w:val="center"/>
          </w:tcPr>
          <w:p>
            <w:pPr>
              <w:jc w:val="center"/>
              <w:rPr>
                <w:b/>
                <w:i/>
                <w:color w:val="0070C0"/>
                <w:sz w:val="28"/>
                <w:szCs w:val="28"/>
              </w:rPr>
            </w:pPr>
            <w:r>
              <w:rPr>
                <w:b/>
                <w:i/>
                <w:color w:val="0070C0"/>
                <w:sz w:val="28"/>
                <w:szCs w:val="28"/>
              </w:rPr>
              <w:t>75%</w:t>
            </w:r>
          </w:p>
        </w:tc>
        <w:tc>
          <w:tcPr>
            <w:tcW w:w="708" w:type="dxa"/>
            <w:vAlign w:val="center"/>
          </w:tcPr>
          <w:p>
            <w:pPr>
              <w:jc w:val="center"/>
              <w:rPr>
                <w:b/>
                <w:i/>
                <w:color w:val="0070C0"/>
                <w:sz w:val="28"/>
                <w:szCs w:val="28"/>
              </w:rPr>
            </w:pPr>
            <w:r>
              <w:rPr>
                <w:b/>
                <w:i/>
                <w:color w:val="0070C0"/>
                <w:sz w:val="28"/>
                <w:szCs w:val="28"/>
              </w:rPr>
              <w:t>25%</w:t>
            </w:r>
          </w:p>
        </w:tc>
        <w:tc>
          <w:tcPr>
            <w:tcW w:w="709" w:type="dxa"/>
            <w:vAlign w:val="center"/>
          </w:tcPr>
          <w:p>
            <w:pPr>
              <w:jc w:val="center"/>
              <w:rPr>
                <w:b/>
                <w:i/>
                <w:color w:val="000000" w:themeColor="text1"/>
                <w:sz w:val="28"/>
                <w:szCs w:val="28"/>
              </w:rPr>
            </w:pPr>
            <w:r>
              <w:rPr>
                <w:b/>
                <w:i/>
                <w:color w:val="000000" w:themeColor="text1"/>
                <w:sz w:val="28"/>
                <w:szCs w:val="28"/>
              </w:rPr>
              <w:t>88%</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12%</w:t>
            </w:r>
          </w:p>
        </w:tc>
        <w:tc>
          <w:tcPr>
            <w:tcW w:w="709" w:type="dxa"/>
            <w:tcBorders>
              <w:left w:val="single" w:sz="12" w:space="0" w:color="auto"/>
            </w:tcBorders>
          </w:tcPr>
          <w:p>
            <w:pPr>
              <w:jc w:val="center"/>
              <w:rPr>
                <w:b/>
                <w:i/>
                <w:color w:val="0070C0"/>
                <w:sz w:val="28"/>
                <w:szCs w:val="28"/>
              </w:rPr>
            </w:pPr>
            <w:r>
              <w:rPr>
                <w:b/>
                <w:i/>
                <w:color w:val="0070C0"/>
                <w:sz w:val="28"/>
                <w:szCs w:val="28"/>
              </w:rPr>
              <w:t>75%</w:t>
            </w:r>
          </w:p>
        </w:tc>
        <w:tc>
          <w:tcPr>
            <w:tcW w:w="736" w:type="dxa"/>
          </w:tcPr>
          <w:p>
            <w:pPr>
              <w:jc w:val="center"/>
              <w:rPr>
                <w:b/>
                <w:i/>
                <w:color w:val="0070C0"/>
                <w:sz w:val="28"/>
                <w:szCs w:val="28"/>
              </w:rPr>
            </w:pPr>
            <w:r>
              <w:rPr>
                <w:b/>
                <w:i/>
                <w:color w:val="0070C0"/>
                <w:sz w:val="28"/>
                <w:szCs w:val="28"/>
              </w:rPr>
              <w:t>N/A</w:t>
            </w:r>
          </w:p>
        </w:tc>
        <w:tc>
          <w:tcPr>
            <w:tcW w:w="823" w:type="dxa"/>
          </w:tcPr>
          <w:p>
            <w:pPr>
              <w:jc w:val="center"/>
              <w:rPr>
                <w:b/>
                <w:i/>
                <w:color w:val="0070C0"/>
                <w:sz w:val="28"/>
                <w:szCs w:val="28"/>
              </w:rPr>
            </w:pPr>
            <w:r>
              <w:rPr>
                <w:b/>
                <w:i/>
                <w:color w:val="0070C0"/>
                <w:sz w:val="28"/>
                <w:szCs w:val="28"/>
              </w:rPr>
              <w:t>75%</w:t>
            </w:r>
          </w:p>
        </w:tc>
        <w:tc>
          <w:tcPr>
            <w:tcW w:w="709" w:type="dxa"/>
          </w:tcPr>
          <w:p>
            <w:pPr>
              <w:jc w:val="center"/>
              <w:rPr>
                <w:b/>
                <w:i/>
                <w:color w:val="000000" w:themeColor="text1"/>
                <w:sz w:val="28"/>
                <w:szCs w:val="28"/>
              </w:rPr>
            </w:pPr>
            <w:r>
              <w:rPr>
                <w:b/>
                <w:i/>
                <w:color w:val="000000" w:themeColor="text1"/>
                <w:sz w:val="28"/>
                <w:szCs w:val="28"/>
              </w:rPr>
              <w:t>75%</w:t>
            </w:r>
          </w:p>
        </w:tc>
        <w:tc>
          <w:tcPr>
            <w:tcW w:w="708" w:type="dxa"/>
          </w:tcPr>
          <w:p>
            <w:pPr>
              <w:jc w:val="center"/>
              <w:rPr>
                <w:b/>
                <w:i/>
                <w:color w:val="000000" w:themeColor="text1"/>
                <w:sz w:val="28"/>
                <w:szCs w:val="28"/>
              </w:rPr>
            </w:pPr>
            <w:r>
              <w:rPr>
                <w:b/>
                <w:i/>
                <w:color w:val="000000" w:themeColor="text1"/>
                <w:sz w:val="28"/>
                <w:szCs w:val="28"/>
              </w:rPr>
              <w:t>N/A</w:t>
            </w:r>
          </w:p>
        </w:tc>
        <w:tc>
          <w:tcPr>
            <w:tcW w:w="709" w:type="dxa"/>
          </w:tcPr>
          <w:p>
            <w:pPr>
              <w:jc w:val="center"/>
              <w:rPr>
                <w:b/>
                <w:i/>
                <w:color w:val="000000" w:themeColor="text1"/>
                <w:sz w:val="28"/>
                <w:szCs w:val="28"/>
              </w:rPr>
            </w:pPr>
            <w:r>
              <w:rPr>
                <w:b/>
                <w:i/>
                <w:color w:val="000000" w:themeColor="text1"/>
                <w:sz w:val="28"/>
                <w:szCs w:val="28"/>
              </w:rPr>
              <w:t>100%</w:t>
            </w:r>
          </w:p>
        </w:tc>
      </w:tr>
      <w:tr>
        <w:tc>
          <w:tcPr>
            <w:tcW w:w="1524" w:type="dxa"/>
            <w:vAlign w:val="center"/>
          </w:tcPr>
          <w:p>
            <w:pPr>
              <w:jc w:val="center"/>
              <w:rPr>
                <w:b/>
                <w:i/>
                <w:sz w:val="28"/>
                <w:szCs w:val="28"/>
              </w:rPr>
            </w:pPr>
            <w:r>
              <w:rPr>
                <w:b/>
                <w:i/>
                <w:sz w:val="28"/>
                <w:szCs w:val="28"/>
              </w:rPr>
              <w:t>CITZ</w:t>
            </w:r>
          </w:p>
        </w:tc>
        <w:tc>
          <w:tcPr>
            <w:tcW w:w="711" w:type="dxa"/>
            <w:vAlign w:val="center"/>
          </w:tcPr>
          <w:p>
            <w:pPr>
              <w:jc w:val="center"/>
              <w:rPr>
                <w:b/>
                <w:i/>
                <w:color w:val="0070C0"/>
                <w:sz w:val="28"/>
                <w:szCs w:val="28"/>
              </w:rPr>
            </w:pPr>
            <w:r>
              <w:rPr>
                <w:b/>
                <w:i/>
                <w:color w:val="0070C0"/>
                <w:sz w:val="28"/>
                <w:szCs w:val="28"/>
              </w:rPr>
              <w:t>50%</w:t>
            </w:r>
          </w:p>
        </w:tc>
        <w:tc>
          <w:tcPr>
            <w:tcW w:w="708" w:type="dxa"/>
            <w:vAlign w:val="center"/>
          </w:tcPr>
          <w:p>
            <w:pPr>
              <w:rPr>
                <w:b/>
                <w:i/>
                <w:color w:val="0070C0"/>
                <w:sz w:val="28"/>
                <w:szCs w:val="28"/>
              </w:rPr>
            </w:pPr>
            <w:r>
              <w:rPr>
                <w:b/>
                <w:i/>
                <w:color w:val="0070C0"/>
                <w:sz w:val="28"/>
                <w:szCs w:val="28"/>
              </w:rPr>
              <w:t>50%</w:t>
            </w:r>
          </w:p>
        </w:tc>
        <w:tc>
          <w:tcPr>
            <w:tcW w:w="709" w:type="dxa"/>
            <w:vAlign w:val="center"/>
          </w:tcPr>
          <w:p>
            <w:pPr>
              <w:jc w:val="center"/>
              <w:rPr>
                <w:b/>
                <w:i/>
                <w:color w:val="000000" w:themeColor="text1"/>
                <w:sz w:val="28"/>
                <w:szCs w:val="28"/>
              </w:rPr>
            </w:pPr>
            <w:r>
              <w:rPr>
                <w:b/>
                <w:i/>
                <w:color w:val="000000" w:themeColor="text1"/>
                <w:sz w:val="28"/>
                <w:szCs w:val="28"/>
              </w:rPr>
              <w:t>33%</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67%</w:t>
            </w:r>
          </w:p>
        </w:tc>
        <w:tc>
          <w:tcPr>
            <w:tcW w:w="709" w:type="dxa"/>
            <w:tcBorders>
              <w:left w:val="single" w:sz="12" w:space="0" w:color="auto"/>
            </w:tcBorders>
          </w:tcPr>
          <w:p>
            <w:pPr>
              <w:jc w:val="center"/>
              <w:rPr>
                <w:b/>
                <w:i/>
                <w:color w:val="0070C0"/>
                <w:sz w:val="28"/>
                <w:szCs w:val="28"/>
              </w:rPr>
            </w:pPr>
          </w:p>
        </w:tc>
        <w:tc>
          <w:tcPr>
            <w:tcW w:w="736" w:type="dxa"/>
          </w:tcPr>
          <w:p>
            <w:pPr>
              <w:jc w:val="center"/>
              <w:rPr>
                <w:b/>
                <w:i/>
                <w:color w:val="0070C0"/>
                <w:sz w:val="28"/>
                <w:szCs w:val="28"/>
              </w:rPr>
            </w:pPr>
          </w:p>
        </w:tc>
        <w:tc>
          <w:tcPr>
            <w:tcW w:w="823" w:type="dxa"/>
          </w:tcPr>
          <w:p>
            <w:pPr>
              <w:jc w:val="center"/>
              <w:rPr>
                <w:b/>
                <w:i/>
                <w:color w:val="0070C0"/>
                <w:sz w:val="28"/>
                <w:szCs w:val="28"/>
              </w:rPr>
            </w:pPr>
          </w:p>
        </w:tc>
        <w:tc>
          <w:tcPr>
            <w:tcW w:w="709" w:type="dxa"/>
          </w:tcPr>
          <w:p>
            <w:pPr>
              <w:jc w:val="center"/>
              <w:rPr>
                <w:b/>
                <w:i/>
                <w:color w:val="000000" w:themeColor="text1"/>
                <w:sz w:val="28"/>
                <w:szCs w:val="28"/>
              </w:rPr>
            </w:pPr>
            <w:r>
              <w:rPr>
                <w:b/>
                <w:i/>
                <w:color w:val="000000" w:themeColor="text1"/>
                <w:sz w:val="28"/>
                <w:szCs w:val="28"/>
              </w:rPr>
              <w:t>N\A</w:t>
            </w:r>
          </w:p>
        </w:tc>
        <w:tc>
          <w:tcPr>
            <w:tcW w:w="708" w:type="dxa"/>
          </w:tcPr>
          <w:p>
            <w:pPr>
              <w:jc w:val="center"/>
              <w:rPr>
                <w:b/>
                <w:i/>
                <w:color w:val="000000" w:themeColor="text1"/>
                <w:sz w:val="28"/>
                <w:szCs w:val="28"/>
              </w:rPr>
            </w:pPr>
            <w:r>
              <w:rPr>
                <w:b/>
                <w:i/>
                <w:color w:val="000000" w:themeColor="text1"/>
                <w:sz w:val="28"/>
                <w:szCs w:val="28"/>
              </w:rPr>
              <w:t>N\A</w:t>
            </w:r>
          </w:p>
        </w:tc>
        <w:tc>
          <w:tcPr>
            <w:tcW w:w="709" w:type="dxa"/>
          </w:tcPr>
          <w:p>
            <w:pPr>
              <w:jc w:val="center"/>
              <w:rPr>
                <w:b/>
                <w:i/>
                <w:color w:val="000000" w:themeColor="text1"/>
                <w:sz w:val="28"/>
                <w:szCs w:val="28"/>
              </w:rPr>
            </w:pPr>
            <w:r>
              <w:rPr>
                <w:b/>
                <w:i/>
                <w:color w:val="000000" w:themeColor="text1"/>
                <w:sz w:val="28"/>
                <w:szCs w:val="28"/>
              </w:rPr>
              <w:t>50%</w:t>
            </w:r>
          </w:p>
        </w:tc>
      </w:tr>
    </w:tbl>
    <w:p/>
    <w:p/>
    <w:p/>
    <w:p/>
    <w:p/>
    <w:p/>
    <w:p/>
    <w:p>
      <w:pPr>
        <w:pStyle w:val="Heading2"/>
        <w:rPr>
          <w:rFonts w:asciiTheme="minorHAnsi" w:hAnsiTheme="minorHAnsi"/>
        </w:rPr>
      </w:pPr>
      <w:bookmarkStart w:id="6" w:name="_Toc57719798"/>
      <w:bookmarkStart w:id="7" w:name="_Toc115268623"/>
      <w:r>
        <w:rPr>
          <w:rFonts w:asciiTheme="minorHAnsi" w:hAnsiTheme="minorHAnsi"/>
        </w:rPr>
        <w:lastRenderedPageBreak/>
        <w:t>KS2 / Year 7 Overview</w:t>
      </w:r>
      <w:bookmarkEnd w:id="6"/>
      <w:bookmarkEnd w:id="7"/>
    </w:p>
    <w:p>
      <w:r>
        <w:t xml:space="preserve">Pupils arrive in KS2 often missing foundation skills and are generally below average in ability. Pupils make good progress in developing their foundation skills and progress can be seen in all subjects for pupils across the curriculum. We maintain this approach in year 7 so pupils can continue to build on their foundation skills to help prepare the skills </w:t>
      </w:r>
      <w:proofErr w:type="gramStart"/>
      <w:r>
        <w:t>the they</w:t>
      </w:r>
      <w:proofErr w:type="gramEnd"/>
      <w:r>
        <w:t xml:space="preserve"> need to adapt to a more challenging curriculum in Key Stage 3 and Key Stage 4.  Pupils benefit from a very high staff to pupil ratio, individualised approach, designated area and the use of a nurturing and therapeutic methodology. </w:t>
      </w:r>
    </w:p>
    <w:p>
      <w:r>
        <w:t>Progress remains strong in Key Stage 2, with progress cores across most subjects good and close to the previous scores, building on the solid foundations established previously.  Where scores are slightly down this is due to largely to sporadic attendance from a small number of the cohort.</w:t>
      </w:r>
    </w:p>
    <w:p>
      <w:r>
        <w:t xml:space="preserve">The Target Tracker software suite introduced partway through the previous year has proved </w:t>
      </w:r>
      <w:proofErr w:type="gramStart"/>
      <w:r>
        <w:t>successful  in</w:t>
      </w:r>
      <w:proofErr w:type="gramEnd"/>
      <w:r>
        <w:t xml:space="preserve"> providing more detailed tracking of progress in Key Stage 2 and up to Year 8 in core </w:t>
      </w:r>
      <w:proofErr w:type="spellStart"/>
      <w:r>
        <w:t>Core</w:t>
      </w:r>
      <w:proofErr w:type="spellEnd"/>
      <w:r>
        <w:t xml:space="preserve"> subjects for those pupils with very low levels. We have a full cycle of data in this </w:t>
      </w:r>
      <w:proofErr w:type="gramStart"/>
      <w:r>
        <w:t>system ,</w:t>
      </w:r>
      <w:proofErr w:type="gramEnd"/>
      <w:r>
        <w:t xml:space="preserve"> further informing where gaps in learning are and allow for appropriate intervention strategies such targeted intervention for numeracy and literacy. For pupils who are significantly below their expected range abilities in core subjects Target Tracker will continue to be used in conjunction with Key Stage 3 tracking systems to track progress and build on areas for development</w:t>
      </w:r>
    </w:p>
    <w:p>
      <w:pPr>
        <w:pStyle w:val="Heading2"/>
        <w:rPr>
          <w:rFonts w:asciiTheme="minorHAnsi" w:hAnsiTheme="minorHAnsi"/>
          <w:sz w:val="22"/>
          <w:szCs w:val="22"/>
        </w:rPr>
      </w:pPr>
      <w:bookmarkStart w:id="8" w:name="_KS2_SATS_Analysis"/>
      <w:bookmarkStart w:id="9" w:name="_Toc115268624"/>
      <w:bookmarkStart w:id="10" w:name="_Toc57719799"/>
      <w:bookmarkEnd w:id="8"/>
      <w:r>
        <w:rPr>
          <w:rFonts w:asciiTheme="minorHAnsi" w:hAnsiTheme="minorHAnsi"/>
          <w:sz w:val="22"/>
          <w:szCs w:val="22"/>
        </w:rPr>
        <w:t>KS2 SATS</w:t>
      </w:r>
      <w:bookmarkEnd w:id="9"/>
      <w:r>
        <w:rPr>
          <w:rFonts w:asciiTheme="minorHAnsi" w:hAnsiTheme="minorHAnsi"/>
          <w:sz w:val="22"/>
          <w:szCs w:val="22"/>
        </w:rPr>
        <w:t xml:space="preserve"> </w:t>
      </w:r>
      <w:bookmarkEnd w:id="10"/>
    </w:p>
    <w:p>
      <w:r>
        <w:t xml:space="preserve">Seven pupils were due to take their SATS in 2022, all students who attempted the tests achieved results broadly in line with their capabilities and indicated by </w:t>
      </w:r>
      <w:smartTag w:uri="urn:schemas-microsoft-com:office:smarttags" w:element="stockticker">
        <w:r>
          <w:t>CAT</w:t>
        </w:r>
      </w:smartTag>
      <w:r>
        <w:t xml:space="preserve">4 assessments and Target Tracker data. Results in 2022 for Reading and English – </w:t>
      </w:r>
      <w:smartTag w:uri="urn:schemas-microsoft-com:office:smarttags" w:element="stockticker">
        <w:r>
          <w:t>GPS</w:t>
        </w:r>
      </w:smartTag>
      <w:r>
        <w:t xml:space="preserve"> were comparable to the previous years estimated grades, just falling slightly below. Results in Maths were significantly lower than the 2 previous year’s estimations, a major contributing factor to this being 4 of the 7 pupils due to sit the tests either refusing to take the test or being absent. Below is an overview of Chaigeley pupil’s outcomes from the past 3 years. Due to the Corona Virus Outbreak SATS exams at KS2 did not take place in 2020 and 2021. Teachers were asked by the </w:t>
      </w:r>
      <w:proofErr w:type="spellStart"/>
      <w:r>
        <w:t>DfE</w:t>
      </w:r>
      <w:proofErr w:type="spellEnd"/>
      <w:r>
        <w:t xml:space="preserve"> to provide an indication of the levels of the students due to sit the exams in the 3 key areas of assessment; these have been use by way of comparison. For the first time since 2019 comparison against national data is available and included, due to the nature of our setting, the low ability of pupils </w:t>
      </w:r>
      <w:proofErr w:type="gramStart"/>
      <w:r>
        <w:t>and  the</w:t>
      </w:r>
      <w:proofErr w:type="gramEnd"/>
      <w:r>
        <w:t xml:space="preserve"> entry level of the majority of the students who enter at KS2 our results are significantly below average in comparison to National data in 2 of the 3 measures which are mainly representative of mainstream settings. A further study will be undertaken once data is available to compare our outcomes against a sample of similar settings.</w:t>
      </w:r>
      <w:r>
        <w:tab/>
      </w:r>
    </w:p>
    <w:p>
      <w:r>
        <w:t>See Page 7 for breakdown and trend analysis</w:t>
      </w:r>
    </w:p>
    <w:p>
      <w:pPr>
        <w:rPr>
          <w:sz w:val="24"/>
          <w:szCs w:val="24"/>
        </w:rPr>
      </w:pPr>
      <w:r>
        <w:rPr>
          <w:sz w:val="24"/>
          <w:szCs w:val="24"/>
        </w:rPr>
        <w:br w:type="page"/>
      </w:r>
    </w:p>
    <w:p>
      <w:pPr>
        <w:rPr>
          <w:sz w:val="24"/>
          <w:szCs w:val="24"/>
        </w:rPr>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tbl>
      <w:tblPr>
        <w:tblW w:w="15427" w:type="dxa"/>
        <w:tblInd w:w="-731" w:type="dxa"/>
        <w:tblLook w:val="04A0" w:firstRow="1" w:lastRow="0" w:firstColumn="1" w:lastColumn="0" w:noHBand="0" w:noVBand="1"/>
      </w:tblPr>
      <w:tblGrid>
        <w:gridCol w:w="1548"/>
        <w:gridCol w:w="1701"/>
        <w:gridCol w:w="1206"/>
        <w:gridCol w:w="975"/>
        <w:gridCol w:w="1221"/>
        <w:gridCol w:w="1134"/>
        <w:gridCol w:w="1134"/>
        <w:gridCol w:w="1134"/>
        <w:gridCol w:w="2267"/>
        <w:gridCol w:w="1028"/>
        <w:gridCol w:w="1028"/>
        <w:gridCol w:w="1051"/>
      </w:tblGrid>
      <w:tr>
        <w:trPr>
          <w:trHeight w:val="1215"/>
        </w:trPr>
        <w:tc>
          <w:tcPr>
            <w:tcW w:w="15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pPr>
              <w:spacing w:after="0" w:line="240" w:lineRule="auto"/>
              <w:rPr>
                <w:rFonts w:ascii="Calibri" w:eastAsia="Times New Roman" w:hAnsi="Calibri" w:cs="Calibri"/>
                <w:b/>
                <w:bCs/>
                <w:color w:val="0070C0"/>
                <w:lang w:eastAsia="en-GB"/>
              </w:rPr>
            </w:pPr>
            <w:r>
              <w:rPr>
                <w:rFonts w:ascii="Calibri" w:eastAsia="Times New Roman" w:hAnsi="Calibri" w:cs="Calibri"/>
                <w:b/>
                <w:bCs/>
                <w:color w:val="0070C0"/>
                <w:lang w:eastAsia="en-GB"/>
              </w:rPr>
              <w:lastRenderedPageBreak/>
              <w:t>Number of Pupils</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7 (2022) </w:t>
            </w:r>
            <w:r>
              <w:rPr>
                <w:rFonts w:ascii="Calibri" w:eastAsia="Times New Roman" w:hAnsi="Calibri" w:cs="Calibri"/>
                <w:b/>
                <w:bCs/>
                <w:color w:val="000000"/>
                <w:lang w:eastAsia="en-GB"/>
              </w:rPr>
              <w:br/>
              <w:t xml:space="preserve">3 (2021) </w:t>
            </w:r>
            <w:r>
              <w:rPr>
                <w:rFonts w:ascii="Calibri" w:eastAsia="Times New Roman" w:hAnsi="Calibri" w:cs="Calibri"/>
                <w:b/>
                <w:bCs/>
                <w:color w:val="000000"/>
                <w:lang w:eastAsia="en-GB"/>
              </w:rPr>
              <w:br/>
              <w:t>5 (2020)</w:t>
            </w:r>
          </w:p>
        </w:tc>
        <w:tc>
          <w:tcPr>
            <w:tcW w:w="1206" w:type="dxa"/>
            <w:vMerge w:val="restart"/>
            <w:tcBorders>
              <w:top w:val="single" w:sz="8" w:space="0" w:color="auto"/>
              <w:left w:val="nil"/>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632523"/>
                <w:sz w:val="20"/>
                <w:szCs w:val="20"/>
                <w:lang w:eastAsia="en-GB"/>
              </w:rPr>
            </w:pPr>
            <w:r>
              <w:rPr>
                <w:rFonts w:ascii="Calibri" w:eastAsia="Times New Roman" w:hAnsi="Calibri" w:cs="Calibri"/>
                <w:b/>
                <w:bCs/>
                <w:color w:val="632523"/>
                <w:sz w:val="20"/>
                <w:szCs w:val="20"/>
                <w:lang w:eastAsia="en-GB"/>
              </w:rPr>
              <w:t>At Expected</w:t>
            </w:r>
            <w:r>
              <w:rPr>
                <w:rFonts w:ascii="Calibri" w:eastAsia="Times New Roman" w:hAnsi="Calibri" w:cs="Calibri"/>
                <w:b/>
                <w:bCs/>
                <w:color w:val="632523"/>
                <w:sz w:val="20"/>
                <w:szCs w:val="20"/>
                <w:lang w:eastAsia="en-GB"/>
              </w:rPr>
              <w:br/>
              <w:t xml:space="preserve"> 2022</w:t>
            </w:r>
          </w:p>
        </w:tc>
        <w:tc>
          <w:tcPr>
            <w:tcW w:w="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632523"/>
                <w:sz w:val="20"/>
                <w:szCs w:val="20"/>
                <w:lang w:eastAsia="en-GB"/>
              </w:rPr>
            </w:pPr>
            <w:r>
              <w:rPr>
                <w:rFonts w:ascii="Calibri" w:eastAsia="Times New Roman" w:hAnsi="Calibri" w:cs="Calibri"/>
                <w:b/>
                <w:bCs/>
                <w:color w:val="632523"/>
                <w:sz w:val="20"/>
                <w:szCs w:val="20"/>
                <w:lang w:eastAsia="en-GB"/>
              </w:rPr>
              <w:t xml:space="preserve">Below Expected </w:t>
            </w:r>
            <w:r>
              <w:rPr>
                <w:rFonts w:ascii="Calibri" w:eastAsia="Times New Roman" w:hAnsi="Calibri" w:cs="Calibri"/>
                <w:b/>
                <w:bCs/>
                <w:color w:val="632523"/>
                <w:sz w:val="20"/>
                <w:szCs w:val="20"/>
                <w:lang w:eastAsia="en-GB"/>
              </w:rPr>
              <w:br/>
              <w:t>2022</w:t>
            </w:r>
          </w:p>
        </w:tc>
        <w:tc>
          <w:tcPr>
            <w:tcW w:w="12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Estimated at Expected</w:t>
            </w:r>
            <w:r>
              <w:rPr>
                <w:rFonts w:ascii="Calibri" w:eastAsia="Times New Roman" w:hAnsi="Calibri" w:cs="Calibri"/>
                <w:b/>
                <w:bCs/>
                <w:color w:val="000000"/>
                <w:sz w:val="20"/>
                <w:szCs w:val="20"/>
                <w:lang w:eastAsia="en-GB"/>
              </w:rPr>
              <w:br/>
              <w:t xml:space="preserve"> or above 2022</w:t>
            </w:r>
          </w:p>
        </w:tc>
        <w:tc>
          <w:tcPr>
            <w:tcW w:w="1134" w:type="dxa"/>
            <w:tcBorders>
              <w:top w:val="single" w:sz="8" w:space="0" w:color="auto"/>
              <w:left w:val="nil"/>
              <w:bottom w:val="nil"/>
              <w:right w:val="single" w:sz="8" w:space="0" w:color="auto"/>
            </w:tcBorders>
            <w:shd w:val="clear" w:color="auto" w:fill="auto"/>
            <w:vAlign w:val="center"/>
            <w:hideMark/>
          </w:tcPr>
          <w:p>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National Average% 2022</w:t>
            </w:r>
          </w:p>
        </w:tc>
        <w:tc>
          <w:tcPr>
            <w:tcW w:w="1134" w:type="dxa"/>
            <w:vMerge w:val="restart"/>
            <w:tcBorders>
              <w:top w:val="single" w:sz="8" w:space="0" w:color="auto"/>
              <w:left w:val="nil"/>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974706"/>
                <w:sz w:val="20"/>
                <w:szCs w:val="20"/>
                <w:lang w:eastAsia="en-GB"/>
              </w:rPr>
            </w:pPr>
            <w:r>
              <w:rPr>
                <w:rFonts w:ascii="Calibri" w:eastAsia="Times New Roman" w:hAnsi="Calibri" w:cs="Calibri"/>
                <w:b/>
                <w:bCs/>
                <w:color w:val="974706"/>
                <w:sz w:val="20"/>
                <w:szCs w:val="20"/>
                <w:lang w:eastAsia="en-GB"/>
              </w:rPr>
              <w:t>At Expected</w:t>
            </w:r>
            <w:r>
              <w:rPr>
                <w:rFonts w:ascii="Calibri" w:eastAsia="Times New Roman" w:hAnsi="Calibri" w:cs="Calibri"/>
                <w:b/>
                <w:bCs/>
                <w:color w:val="974706"/>
                <w:sz w:val="20"/>
                <w:szCs w:val="20"/>
                <w:lang w:eastAsia="en-GB"/>
              </w:rPr>
              <w:br/>
              <w:t xml:space="preserve"> 2021 (Teacher Assessed)</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974706"/>
                <w:sz w:val="20"/>
                <w:szCs w:val="20"/>
                <w:lang w:eastAsia="en-GB"/>
              </w:rPr>
            </w:pPr>
            <w:r>
              <w:rPr>
                <w:rFonts w:ascii="Calibri" w:eastAsia="Times New Roman" w:hAnsi="Calibri" w:cs="Calibri"/>
                <w:b/>
                <w:bCs/>
                <w:color w:val="974706"/>
                <w:sz w:val="20"/>
                <w:szCs w:val="20"/>
                <w:lang w:eastAsia="en-GB"/>
              </w:rPr>
              <w:t xml:space="preserve">Below Expected </w:t>
            </w:r>
            <w:r>
              <w:rPr>
                <w:rFonts w:ascii="Calibri" w:eastAsia="Times New Roman" w:hAnsi="Calibri" w:cs="Calibri"/>
                <w:b/>
                <w:bCs/>
                <w:color w:val="974706"/>
                <w:sz w:val="20"/>
                <w:szCs w:val="20"/>
                <w:lang w:eastAsia="en-GB"/>
              </w:rPr>
              <w:br/>
              <w:t>2021 (Teacher Assessed)</w:t>
            </w:r>
          </w:p>
        </w:tc>
        <w:tc>
          <w:tcPr>
            <w:tcW w:w="2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Estimated at Expected</w:t>
            </w:r>
            <w:r>
              <w:rPr>
                <w:rFonts w:ascii="Calibri" w:eastAsia="Times New Roman" w:hAnsi="Calibri" w:cs="Calibri"/>
                <w:b/>
                <w:bCs/>
                <w:color w:val="000000"/>
                <w:sz w:val="20"/>
                <w:szCs w:val="20"/>
                <w:lang w:eastAsia="en-GB"/>
              </w:rPr>
              <w:br/>
              <w:t xml:space="preserve"> or above 2021</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60497A"/>
                <w:sz w:val="20"/>
                <w:szCs w:val="20"/>
                <w:lang w:eastAsia="en-GB"/>
              </w:rPr>
            </w:pPr>
            <w:r>
              <w:rPr>
                <w:rFonts w:ascii="Calibri" w:eastAsia="Times New Roman" w:hAnsi="Calibri" w:cs="Calibri"/>
                <w:b/>
                <w:bCs/>
                <w:color w:val="60497A"/>
                <w:sz w:val="20"/>
                <w:szCs w:val="20"/>
                <w:lang w:eastAsia="en-GB"/>
              </w:rPr>
              <w:t>At Expected 2020 (Teacher Assessed)</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60497A"/>
                <w:sz w:val="20"/>
                <w:szCs w:val="20"/>
                <w:lang w:eastAsia="en-GB"/>
              </w:rPr>
            </w:pPr>
            <w:r>
              <w:rPr>
                <w:rFonts w:ascii="Calibri" w:eastAsia="Times New Roman" w:hAnsi="Calibri" w:cs="Calibri"/>
                <w:b/>
                <w:bCs/>
                <w:color w:val="60497A"/>
                <w:sz w:val="20"/>
                <w:szCs w:val="20"/>
                <w:lang w:eastAsia="en-GB"/>
              </w:rPr>
              <w:t>Below Expected 2020 (Teacher Assessed)</w:t>
            </w:r>
          </w:p>
        </w:tc>
        <w:tc>
          <w:tcPr>
            <w:tcW w:w="10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Estimated at Expected or above 2020</w:t>
            </w:r>
          </w:p>
        </w:tc>
      </w:tr>
      <w:tr>
        <w:trPr>
          <w:trHeight w:val="315"/>
        </w:trPr>
        <w:tc>
          <w:tcPr>
            <w:tcW w:w="1548"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70C0"/>
                <w:lang w:eastAsia="en-GB"/>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lang w:eastAsia="en-GB"/>
              </w:rPr>
            </w:pPr>
          </w:p>
        </w:tc>
        <w:tc>
          <w:tcPr>
            <w:tcW w:w="1206" w:type="dxa"/>
            <w:vMerge/>
            <w:tcBorders>
              <w:top w:val="single" w:sz="8" w:space="0" w:color="auto"/>
              <w:left w:val="nil"/>
              <w:bottom w:val="single" w:sz="8" w:space="0" w:color="000000"/>
              <w:right w:val="single" w:sz="8" w:space="0" w:color="auto"/>
            </w:tcBorders>
            <w:vAlign w:val="center"/>
            <w:hideMark/>
          </w:tcPr>
          <w:p>
            <w:pPr>
              <w:spacing w:after="0" w:line="240" w:lineRule="auto"/>
              <w:rPr>
                <w:rFonts w:ascii="Calibri" w:eastAsia="Times New Roman" w:hAnsi="Calibri" w:cs="Calibri"/>
                <w:b/>
                <w:bCs/>
                <w:color w:val="632523"/>
                <w:sz w:val="20"/>
                <w:szCs w:val="20"/>
                <w:lang w:eastAsia="en-GB"/>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632523"/>
                <w:sz w:val="20"/>
                <w:szCs w:val="20"/>
                <w:lang w:eastAsia="en-GB"/>
              </w:rPr>
            </w:pPr>
          </w:p>
        </w:tc>
        <w:tc>
          <w:tcPr>
            <w:tcW w:w="1221"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0"/>
                <w:szCs w:val="20"/>
                <w:lang w:eastAsia="en-GB"/>
              </w:rPr>
            </w:pP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w:t>
            </w:r>
          </w:p>
        </w:tc>
        <w:tc>
          <w:tcPr>
            <w:tcW w:w="1134" w:type="dxa"/>
            <w:vMerge/>
            <w:tcBorders>
              <w:top w:val="single" w:sz="8" w:space="0" w:color="auto"/>
              <w:left w:val="nil"/>
              <w:bottom w:val="single" w:sz="8" w:space="0" w:color="000000"/>
              <w:right w:val="single" w:sz="8" w:space="0" w:color="auto"/>
            </w:tcBorders>
            <w:vAlign w:val="center"/>
            <w:hideMark/>
          </w:tcPr>
          <w:p>
            <w:pPr>
              <w:spacing w:after="0" w:line="240" w:lineRule="auto"/>
              <w:rPr>
                <w:rFonts w:ascii="Calibri" w:eastAsia="Times New Roman" w:hAnsi="Calibri" w:cs="Calibri"/>
                <w:b/>
                <w:bCs/>
                <w:color w:val="974706"/>
                <w:sz w:val="20"/>
                <w:szCs w:val="20"/>
                <w:lang w:eastAsia="en-GB"/>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974706"/>
                <w:sz w:val="20"/>
                <w:szCs w:val="20"/>
                <w:lang w:eastAsia="en-GB"/>
              </w:rPr>
            </w:pPr>
          </w:p>
        </w:tc>
        <w:tc>
          <w:tcPr>
            <w:tcW w:w="2267"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0"/>
                <w:szCs w:val="20"/>
                <w:lang w:eastAsia="en-GB"/>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60497A"/>
                <w:sz w:val="20"/>
                <w:szCs w:val="20"/>
                <w:lang w:eastAsia="en-GB"/>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60497A"/>
                <w:sz w:val="20"/>
                <w:szCs w:val="20"/>
                <w:lang w:eastAsia="en-GB"/>
              </w:rPr>
            </w:pPr>
          </w:p>
        </w:tc>
        <w:tc>
          <w:tcPr>
            <w:tcW w:w="1051"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0"/>
                <w:szCs w:val="20"/>
                <w:lang w:eastAsia="en-GB"/>
              </w:rPr>
            </w:pPr>
          </w:p>
        </w:tc>
      </w:tr>
      <w:tr>
        <w:trPr>
          <w:trHeight w:val="315"/>
        </w:trPr>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after="0" w:line="240" w:lineRule="auto"/>
              <w:rPr>
                <w:rFonts w:ascii="Calibri" w:eastAsia="Times New Roman" w:hAnsi="Calibri" w:cs="Calibri"/>
                <w:b/>
                <w:bCs/>
                <w:color w:val="0070C0"/>
                <w:lang w:eastAsia="en-GB"/>
              </w:rPr>
            </w:pPr>
            <w:r>
              <w:rPr>
                <w:rFonts w:ascii="Calibri" w:eastAsia="Times New Roman" w:hAnsi="Calibri" w:cs="Calibri"/>
                <w:b/>
                <w:bCs/>
                <w:color w:val="0070C0"/>
                <w:lang w:eastAsia="en-GB"/>
              </w:rPr>
              <w:t> Key Areas for</w:t>
            </w:r>
            <w:r>
              <w:rPr>
                <w:rFonts w:ascii="Calibri" w:eastAsia="Times New Roman" w:hAnsi="Calibri" w:cs="Calibri"/>
                <w:b/>
                <w:bCs/>
                <w:color w:val="0070C0"/>
                <w:lang w:eastAsia="en-GB"/>
              </w:rPr>
              <w:br/>
              <w:t xml:space="preserve"> Assessment</w:t>
            </w:r>
          </w:p>
        </w:tc>
        <w:tc>
          <w:tcPr>
            <w:tcW w:w="170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English - Reading</w:t>
            </w:r>
          </w:p>
        </w:tc>
        <w:tc>
          <w:tcPr>
            <w:tcW w:w="12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4</w:t>
            </w:r>
          </w:p>
        </w:tc>
        <w:tc>
          <w:tcPr>
            <w:tcW w:w="9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c>
          <w:tcPr>
            <w:tcW w:w="122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63634"/>
                <w:lang w:eastAsia="en-GB"/>
              </w:rPr>
            </w:pPr>
            <w:r>
              <w:rPr>
                <w:rFonts w:ascii="Calibri" w:eastAsia="Times New Roman" w:hAnsi="Calibri" w:cs="Calibri"/>
                <w:b/>
                <w:bCs/>
                <w:color w:val="963634"/>
                <w:lang w:eastAsia="en-GB"/>
              </w:rPr>
              <w:t>57%</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74%</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2267"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74706"/>
                <w:lang w:eastAsia="en-GB"/>
              </w:rPr>
            </w:pPr>
            <w:r>
              <w:rPr>
                <w:rFonts w:ascii="Calibri" w:eastAsia="Times New Roman" w:hAnsi="Calibri" w:cs="Calibri"/>
                <w:b/>
                <w:bCs/>
                <w:color w:val="974706"/>
                <w:lang w:eastAsia="en-GB"/>
              </w:rPr>
              <w:t>66%</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051"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403152"/>
                <w:lang w:eastAsia="en-GB"/>
              </w:rPr>
            </w:pPr>
            <w:r>
              <w:rPr>
                <w:rFonts w:ascii="Calibri" w:eastAsia="Times New Roman" w:hAnsi="Calibri" w:cs="Calibri"/>
                <w:b/>
                <w:bCs/>
                <w:color w:val="403152"/>
                <w:lang w:eastAsia="en-GB"/>
              </w:rPr>
              <w:t>60%</w:t>
            </w:r>
          </w:p>
        </w:tc>
      </w:tr>
      <w:tr>
        <w:trPr>
          <w:trHeight w:val="315"/>
        </w:trPr>
        <w:tc>
          <w:tcPr>
            <w:tcW w:w="1548"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70C0"/>
                <w:lang w:eastAsia="en-GB"/>
              </w:rPr>
            </w:pPr>
          </w:p>
        </w:tc>
        <w:tc>
          <w:tcPr>
            <w:tcW w:w="170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English - GPS</w:t>
            </w:r>
          </w:p>
        </w:tc>
        <w:tc>
          <w:tcPr>
            <w:tcW w:w="12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9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5</w:t>
            </w:r>
          </w:p>
        </w:tc>
        <w:tc>
          <w:tcPr>
            <w:tcW w:w="122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63634"/>
                <w:lang w:eastAsia="en-GB"/>
              </w:rPr>
            </w:pPr>
            <w:r>
              <w:rPr>
                <w:rFonts w:ascii="Calibri" w:eastAsia="Times New Roman" w:hAnsi="Calibri" w:cs="Calibri"/>
                <w:b/>
                <w:bCs/>
                <w:color w:val="963634"/>
                <w:lang w:eastAsia="en-GB"/>
              </w:rPr>
              <w:t>29%</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72%</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2267"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74706"/>
                <w:lang w:eastAsia="en-GB"/>
              </w:rPr>
            </w:pPr>
            <w:r>
              <w:rPr>
                <w:rFonts w:ascii="Calibri" w:eastAsia="Times New Roman" w:hAnsi="Calibri" w:cs="Calibri"/>
                <w:b/>
                <w:bCs/>
                <w:color w:val="974706"/>
                <w:lang w:eastAsia="en-GB"/>
              </w:rPr>
              <w:t>33%</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051"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403152"/>
                <w:lang w:eastAsia="en-GB"/>
              </w:rPr>
            </w:pPr>
            <w:r>
              <w:rPr>
                <w:rFonts w:ascii="Calibri" w:eastAsia="Times New Roman" w:hAnsi="Calibri" w:cs="Calibri"/>
                <w:b/>
                <w:bCs/>
                <w:color w:val="403152"/>
                <w:lang w:eastAsia="en-GB"/>
              </w:rPr>
              <w:t>60%</w:t>
            </w:r>
          </w:p>
        </w:tc>
      </w:tr>
      <w:tr>
        <w:trPr>
          <w:trHeight w:val="315"/>
        </w:trPr>
        <w:tc>
          <w:tcPr>
            <w:tcW w:w="1548"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70C0"/>
                <w:lang w:eastAsia="en-GB"/>
              </w:rPr>
            </w:pPr>
          </w:p>
        </w:tc>
        <w:tc>
          <w:tcPr>
            <w:tcW w:w="170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Maths</w:t>
            </w:r>
          </w:p>
        </w:tc>
        <w:tc>
          <w:tcPr>
            <w:tcW w:w="12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9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6</w:t>
            </w:r>
          </w:p>
        </w:tc>
        <w:tc>
          <w:tcPr>
            <w:tcW w:w="1221"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63634"/>
                <w:lang w:eastAsia="en-GB"/>
              </w:rPr>
            </w:pPr>
            <w:r>
              <w:rPr>
                <w:rFonts w:ascii="Calibri" w:eastAsia="Times New Roman" w:hAnsi="Calibri" w:cs="Calibri"/>
                <w:b/>
                <w:bCs/>
                <w:color w:val="963634"/>
                <w:lang w:eastAsia="en-GB"/>
              </w:rPr>
              <w:t>14%</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71%</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13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2267"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Calibri"/>
                <w:b/>
                <w:bCs/>
                <w:color w:val="974706"/>
                <w:lang w:eastAsia="en-GB"/>
              </w:rPr>
            </w:pPr>
            <w:r>
              <w:rPr>
                <w:rFonts w:ascii="Calibri" w:eastAsia="Times New Roman" w:hAnsi="Calibri" w:cs="Calibri"/>
                <w:b/>
                <w:bCs/>
                <w:color w:val="974706"/>
                <w:lang w:eastAsia="en-GB"/>
              </w:rPr>
              <w:t>66%</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w:t>
            </w:r>
          </w:p>
        </w:tc>
        <w:tc>
          <w:tcPr>
            <w:tcW w:w="1028"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w:t>
            </w:r>
          </w:p>
        </w:tc>
        <w:tc>
          <w:tcPr>
            <w:tcW w:w="1051"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b/>
                <w:bCs/>
                <w:color w:val="403152"/>
                <w:lang w:eastAsia="en-GB"/>
              </w:rPr>
            </w:pPr>
            <w:r>
              <w:rPr>
                <w:rFonts w:ascii="Calibri" w:eastAsia="Times New Roman" w:hAnsi="Calibri" w:cs="Calibri"/>
                <w:b/>
                <w:bCs/>
                <w:color w:val="403152"/>
                <w:lang w:eastAsia="en-GB"/>
              </w:rPr>
              <w:t>40%</w:t>
            </w:r>
          </w:p>
        </w:tc>
      </w:tr>
    </w:tbl>
    <w:p>
      <w:pPr>
        <w:rPr>
          <w:b/>
          <w:color w:val="17365D" w:themeColor="text2" w:themeShade="BF"/>
          <w:sz w:val="28"/>
          <w:szCs w:val="28"/>
          <w:u w:val="single"/>
        </w:rPr>
      </w:pPr>
      <w:r>
        <w:rPr>
          <w:b/>
          <w:color w:val="17365D" w:themeColor="text2" w:themeShade="BF"/>
          <w:sz w:val="28"/>
          <w:szCs w:val="28"/>
          <w:u w:val="single"/>
        </w:rPr>
        <w:t>Below is an analysis of 2022 SATS exams results as a comparison</w:t>
      </w:r>
    </w:p>
    <w:p>
      <w:pPr>
        <w:rPr>
          <w:b/>
          <w:sz w:val="24"/>
          <w:szCs w:val="24"/>
        </w:rPr>
      </w:pPr>
      <w:r>
        <w:rPr>
          <w:b/>
          <w:sz w:val="24"/>
          <w:szCs w:val="24"/>
        </w:rPr>
        <w:t>Number of pupils taking SATs – 7</w:t>
      </w:r>
    </w:p>
    <w:p>
      <w:pPr>
        <w:rPr>
          <w:b/>
          <w:sz w:val="24"/>
          <w:szCs w:val="24"/>
        </w:rPr>
      </w:pPr>
      <w:r>
        <w:rPr>
          <w:b/>
          <w:sz w:val="24"/>
          <w:szCs w:val="24"/>
        </w:rPr>
        <w:t xml:space="preserve">Number of pupils achieving </w:t>
      </w:r>
      <w:proofErr w:type="gramStart"/>
      <w:r>
        <w:rPr>
          <w:b/>
          <w:sz w:val="24"/>
          <w:szCs w:val="24"/>
        </w:rPr>
        <w:t>Above</w:t>
      </w:r>
      <w:proofErr w:type="gramEnd"/>
      <w:r>
        <w:rPr>
          <w:b/>
          <w:sz w:val="24"/>
          <w:szCs w:val="24"/>
        </w:rPr>
        <w:t xml:space="preserve"> or expected in all areas – 0</w:t>
      </w:r>
    </w:p>
    <w:p>
      <w:pPr>
        <w:rPr>
          <w:b/>
          <w:sz w:val="24"/>
          <w:szCs w:val="24"/>
        </w:rPr>
      </w:pPr>
      <w:r>
        <w:rPr>
          <w:b/>
          <w:sz w:val="24"/>
          <w:szCs w:val="24"/>
        </w:rPr>
        <w:t xml:space="preserve">Number of pupils achieving </w:t>
      </w:r>
      <w:proofErr w:type="gramStart"/>
      <w:r>
        <w:rPr>
          <w:b/>
          <w:sz w:val="24"/>
          <w:szCs w:val="24"/>
        </w:rPr>
        <w:t>Above</w:t>
      </w:r>
      <w:proofErr w:type="gramEnd"/>
      <w:r>
        <w:rPr>
          <w:b/>
          <w:sz w:val="24"/>
          <w:szCs w:val="24"/>
        </w:rPr>
        <w:t xml:space="preserve"> or expected in Reading – 4</w:t>
      </w:r>
    </w:p>
    <w:p>
      <w:pPr>
        <w:rPr>
          <w:b/>
          <w:sz w:val="24"/>
          <w:szCs w:val="24"/>
        </w:rPr>
      </w:pPr>
      <w:r>
        <w:rPr>
          <w:b/>
          <w:sz w:val="24"/>
          <w:szCs w:val="24"/>
        </w:rPr>
        <w:t xml:space="preserve">Number of pupils achieving </w:t>
      </w:r>
      <w:proofErr w:type="gramStart"/>
      <w:r>
        <w:rPr>
          <w:b/>
          <w:sz w:val="24"/>
          <w:szCs w:val="24"/>
        </w:rPr>
        <w:t>Above</w:t>
      </w:r>
      <w:proofErr w:type="gramEnd"/>
      <w:r>
        <w:rPr>
          <w:b/>
          <w:sz w:val="24"/>
          <w:szCs w:val="24"/>
        </w:rPr>
        <w:t xml:space="preserve"> or expected in Maths - 1</w:t>
      </w:r>
    </w:p>
    <w:p>
      <w:pPr>
        <w:rPr>
          <w:b/>
          <w:sz w:val="24"/>
          <w:szCs w:val="24"/>
        </w:rPr>
      </w:pPr>
      <w:r>
        <w:rPr>
          <w:b/>
          <w:sz w:val="24"/>
          <w:szCs w:val="24"/>
        </w:rPr>
        <w:t xml:space="preserve">Number of Pupils achieving </w:t>
      </w:r>
      <w:proofErr w:type="gramStart"/>
      <w:r>
        <w:rPr>
          <w:b/>
          <w:sz w:val="24"/>
          <w:szCs w:val="24"/>
        </w:rPr>
        <w:t>Above</w:t>
      </w:r>
      <w:proofErr w:type="gramEnd"/>
      <w:r>
        <w:rPr>
          <w:b/>
          <w:sz w:val="24"/>
          <w:szCs w:val="24"/>
        </w:rPr>
        <w:t xml:space="preserve"> or expected in GPS – 2</w:t>
      </w:r>
    </w:p>
    <w:p>
      <w:pPr>
        <w:rPr>
          <w:b/>
          <w:sz w:val="24"/>
          <w:szCs w:val="24"/>
        </w:rPr>
      </w:pPr>
      <w:r>
        <w:rPr>
          <w:b/>
          <w:sz w:val="24"/>
          <w:szCs w:val="24"/>
        </w:rPr>
        <w:t xml:space="preserve">Number of Pupils </w:t>
      </w:r>
      <w:proofErr w:type="gramStart"/>
      <w:r>
        <w:rPr>
          <w:b/>
          <w:sz w:val="24"/>
          <w:szCs w:val="24"/>
        </w:rPr>
        <w:t>Absent</w:t>
      </w:r>
      <w:proofErr w:type="gramEnd"/>
      <w:r>
        <w:rPr>
          <w:b/>
          <w:sz w:val="24"/>
          <w:szCs w:val="24"/>
        </w:rPr>
        <w:t xml:space="preserve"> – Reading (1), GPS (1), Maths (4)</w:t>
      </w:r>
    </w:p>
    <w:p>
      <w:pPr>
        <w:rPr>
          <w:b/>
          <w:sz w:val="28"/>
          <w:szCs w:val="28"/>
          <w:u w:val="single"/>
        </w:rPr>
      </w:pPr>
      <w:r>
        <w:rPr>
          <w:b/>
          <w:sz w:val="28"/>
          <w:szCs w:val="28"/>
          <w:u w:val="single"/>
        </w:rPr>
        <w:t>Average points scores (based on those who sat tests)</w:t>
      </w:r>
    </w:p>
    <w:tbl>
      <w:tblPr>
        <w:tblStyle w:val="TableGrid"/>
        <w:tblW w:w="0" w:type="auto"/>
        <w:tblLook w:val="04A0" w:firstRow="1" w:lastRow="0" w:firstColumn="1" w:lastColumn="0" w:noHBand="0" w:noVBand="1"/>
      </w:tblPr>
      <w:tblGrid>
        <w:gridCol w:w="1981"/>
        <w:gridCol w:w="1880"/>
        <w:gridCol w:w="1921"/>
        <w:gridCol w:w="1854"/>
      </w:tblGrid>
      <w:tr>
        <w:tc>
          <w:tcPr>
            <w:tcW w:w="1981" w:type="dxa"/>
          </w:tcPr>
          <w:p>
            <w:pPr>
              <w:rPr>
                <w:b/>
                <w:sz w:val="28"/>
                <w:szCs w:val="28"/>
              </w:rPr>
            </w:pPr>
          </w:p>
        </w:tc>
        <w:tc>
          <w:tcPr>
            <w:tcW w:w="1880" w:type="dxa"/>
          </w:tcPr>
          <w:p>
            <w:pPr>
              <w:rPr>
                <w:b/>
                <w:sz w:val="24"/>
                <w:szCs w:val="24"/>
              </w:rPr>
            </w:pPr>
            <w:r>
              <w:rPr>
                <w:b/>
                <w:sz w:val="24"/>
                <w:szCs w:val="24"/>
              </w:rPr>
              <w:t>English – GPS</w:t>
            </w:r>
          </w:p>
        </w:tc>
        <w:tc>
          <w:tcPr>
            <w:tcW w:w="1921" w:type="dxa"/>
          </w:tcPr>
          <w:p>
            <w:pPr>
              <w:rPr>
                <w:b/>
                <w:sz w:val="24"/>
                <w:szCs w:val="24"/>
              </w:rPr>
            </w:pPr>
            <w:r>
              <w:rPr>
                <w:b/>
                <w:sz w:val="24"/>
                <w:szCs w:val="24"/>
              </w:rPr>
              <w:t>English – Reading</w:t>
            </w:r>
          </w:p>
        </w:tc>
        <w:tc>
          <w:tcPr>
            <w:tcW w:w="1854" w:type="dxa"/>
          </w:tcPr>
          <w:p>
            <w:pPr>
              <w:rPr>
                <w:b/>
                <w:sz w:val="24"/>
                <w:szCs w:val="24"/>
              </w:rPr>
            </w:pPr>
            <w:r>
              <w:rPr>
                <w:b/>
                <w:sz w:val="24"/>
                <w:szCs w:val="24"/>
              </w:rPr>
              <w:t>Maths</w:t>
            </w:r>
          </w:p>
        </w:tc>
      </w:tr>
      <w:tr>
        <w:tc>
          <w:tcPr>
            <w:tcW w:w="1981" w:type="dxa"/>
          </w:tcPr>
          <w:p>
            <w:pPr>
              <w:rPr>
                <w:b/>
                <w:sz w:val="28"/>
                <w:szCs w:val="28"/>
              </w:rPr>
            </w:pPr>
            <w:r>
              <w:rPr>
                <w:b/>
                <w:sz w:val="28"/>
                <w:szCs w:val="28"/>
              </w:rPr>
              <w:t>Chaigeley 2022</w:t>
            </w:r>
          </w:p>
        </w:tc>
        <w:tc>
          <w:tcPr>
            <w:tcW w:w="1880" w:type="dxa"/>
          </w:tcPr>
          <w:p>
            <w:pPr>
              <w:rPr>
                <w:b/>
                <w:sz w:val="28"/>
                <w:szCs w:val="28"/>
              </w:rPr>
            </w:pPr>
            <w:r>
              <w:rPr>
                <w:b/>
                <w:sz w:val="28"/>
                <w:szCs w:val="28"/>
              </w:rPr>
              <w:t>94</w:t>
            </w:r>
          </w:p>
        </w:tc>
        <w:tc>
          <w:tcPr>
            <w:tcW w:w="1921" w:type="dxa"/>
          </w:tcPr>
          <w:p>
            <w:pPr>
              <w:rPr>
                <w:b/>
                <w:sz w:val="28"/>
                <w:szCs w:val="28"/>
              </w:rPr>
            </w:pPr>
            <w:r>
              <w:rPr>
                <w:b/>
                <w:sz w:val="28"/>
                <w:szCs w:val="28"/>
              </w:rPr>
              <w:t>99</w:t>
            </w:r>
          </w:p>
        </w:tc>
        <w:tc>
          <w:tcPr>
            <w:tcW w:w="1854" w:type="dxa"/>
          </w:tcPr>
          <w:p>
            <w:pPr>
              <w:rPr>
                <w:b/>
                <w:sz w:val="28"/>
                <w:szCs w:val="28"/>
              </w:rPr>
            </w:pPr>
            <w:r>
              <w:rPr>
                <w:b/>
                <w:sz w:val="28"/>
                <w:szCs w:val="28"/>
              </w:rPr>
              <w:t>96</w:t>
            </w:r>
          </w:p>
        </w:tc>
      </w:tr>
      <w:tr>
        <w:tc>
          <w:tcPr>
            <w:tcW w:w="1981" w:type="dxa"/>
          </w:tcPr>
          <w:p>
            <w:pPr>
              <w:rPr>
                <w:b/>
                <w:sz w:val="28"/>
                <w:szCs w:val="28"/>
              </w:rPr>
            </w:pPr>
            <w:r>
              <w:rPr>
                <w:b/>
                <w:sz w:val="28"/>
                <w:szCs w:val="28"/>
              </w:rPr>
              <w:t>National Average 2022</w:t>
            </w:r>
          </w:p>
        </w:tc>
        <w:tc>
          <w:tcPr>
            <w:tcW w:w="1880" w:type="dxa"/>
          </w:tcPr>
          <w:p>
            <w:pPr>
              <w:rPr>
                <w:b/>
                <w:sz w:val="28"/>
                <w:szCs w:val="28"/>
              </w:rPr>
            </w:pPr>
            <w:r>
              <w:rPr>
                <w:b/>
                <w:sz w:val="28"/>
                <w:szCs w:val="28"/>
              </w:rPr>
              <w:t>105</w:t>
            </w:r>
          </w:p>
        </w:tc>
        <w:tc>
          <w:tcPr>
            <w:tcW w:w="1921" w:type="dxa"/>
          </w:tcPr>
          <w:p>
            <w:pPr>
              <w:rPr>
                <w:b/>
                <w:sz w:val="28"/>
                <w:szCs w:val="28"/>
              </w:rPr>
            </w:pPr>
            <w:r>
              <w:rPr>
                <w:b/>
                <w:sz w:val="28"/>
                <w:szCs w:val="28"/>
              </w:rPr>
              <w:t>104</w:t>
            </w:r>
          </w:p>
        </w:tc>
        <w:tc>
          <w:tcPr>
            <w:tcW w:w="1854" w:type="dxa"/>
          </w:tcPr>
          <w:p>
            <w:pPr>
              <w:rPr>
                <w:b/>
                <w:sz w:val="28"/>
                <w:szCs w:val="28"/>
              </w:rPr>
            </w:pPr>
            <w:r>
              <w:rPr>
                <w:b/>
                <w:sz w:val="28"/>
                <w:szCs w:val="28"/>
              </w:rPr>
              <w:t>105</w:t>
            </w:r>
          </w:p>
        </w:tc>
      </w:tr>
    </w:tbl>
    <w:p>
      <w:pPr>
        <w:sectPr>
          <w:pgSz w:w="16838" w:h="11906" w:orient="landscape"/>
          <w:pgMar w:top="1440" w:right="1440" w:bottom="1440" w:left="1440" w:header="708" w:footer="708" w:gutter="0"/>
          <w:cols w:space="708"/>
          <w:docGrid w:linePitch="360"/>
        </w:sectPr>
      </w:pPr>
    </w:p>
    <w:p>
      <w:pPr>
        <w:pStyle w:val="Heading2"/>
        <w:rPr>
          <w:rFonts w:asciiTheme="minorHAnsi" w:hAnsiTheme="minorHAnsi"/>
          <w:sz w:val="28"/>
          <w:szCs w:val="28"/>
        </w:rPr>
      </w:pPr>
      <w:bookmarkStart w:id="11" w:name="_Toc57719800"/>
      <w:bookmarkStart w:id="12" w:name="_Toc115268625"/>
      <w:r>
        <w:rPr>
          <w:rFonts w:asciiTheme="minorHAnsi" w:hAnsiTheme="minorHAnsi"/>
          <w:sz w:val="28"/>
          <w:szCs w:val="28"/>
        </w:rPr>
        <w:lastRenderedPageBreak/>
        <w:t>Commentary</w:t>
      </w:r>
      <w:bookmarkEnd w:id="11"/>
      <w:bookmarkEnd w:id="12"/>
    </w:p>
    <w:p>
      <w:pPr>
        <w:pStyle w:val="Heading3"/>
        <w:rPr>
          <w:rFonts w:asciiTheme="minorHAnsi" w:hAnsiTheme="minorHAnsi"/>
          <w:sz w:val="24"/>
          <w:szCs w:val="24"/>
        </w:rPr>
      </w:pPr>
      <w:bookmarkStart w:id="13" w:name="_Toc57719801"/>
      <w:bookmarkStart w:id="14" w:name="_Toc115268626"/>
      <w:r>
        <w:rPr>
          <w:rFonts w:asciiTheme="minorHAnsi" w:hAnsiTheme="minorHAnsi"/>
          <w:sz w:val="24"/>
          <w:szCs w:val="24"/>
        </w:rPr>
        <w:t>Key Stage 3</w:t>
      </w:r>
      <w:bookmarkEnd w:id="13"/>
      <w:bookmarkEnd w:id="14"/>
    </w:p>
    <w:p>
      <w:r>
        <w:t xml:space="preserve">In most subjects the majority of pupils continue to make expected progress in Key Stage 3 across the curriculum, however the percentage of those making progress in across all subjects was lower than in the previous 2 years, KS3 having a more detrimental effect on whole school progress than in the other key stages. </w:t>
      </w:r>
    </w:p>
    <w:p>
      <w:r>
        <w:t>Pupils can take time to adjust to additional learning demands and to a change in environment. A more primary style model has been introduced over the past year where pupils spend the majority of time with their form staff in a class base, but also receive lessons from specialist subject teachers,  proving  successful with some groups and been extended into Year 9/10 for this academic year.</w:t>
      </w:r>
    </w:p>
    <w:p>
      <w:r>
        <w:t>Behavioural issues in two of the classes created a barrier to learning for some Key Stage 3 pupils</w:t>
      </w:r>
      <w:proofErr w:type="gramStart"/>
      <w:r>
        <w:t>, ,</w:t>
      </w:r>
      <w:proofErr w:type="gramEnd"/>
      <w:r>
        <w:t xml:space="preserve"> pupils in these forms were struggling to meet expectations on progress in most areas, consequently several class changes occurred throughout the year in an attempt to create a more conducive learning environment, this had the desired effect with some pupils with progress improving in the latter part of the year.  Two students who had been displaying more dangerous and disruptive behaviours affecting the safety and learning of others were placed on the Outreach Programme, were they are educated offsite with a reduced curriculum. These 2 pupils refused to engage for large parts of the year on Outreach provision and as such impact the data. A further 2 pupils in the cohort had significant attendance issues further impacting upon Key Stage performance</w:t>
      </w:r>
    </w:p>
    <w:p>
      <w:r>
        <w:t>On average progress scores were approximately down 15%-20% across most subjects in Keys Stage 3 due to the aforementioned reasons. Maths</w:t>
      </w:r>
      <w:bookmarkStart w:id="15" w:name="_Toc57719802"/>
      <w:r>
        <w:t xml:space="preserve"> and English were down by 25% and 20% respectively. Academic and therapeutic strategies have been identified for those pupils not making progress and those affected by attendance issues. Individual and class activities are being implemented to support learning and progress. A review of class groupings, learning bases, key stage specific support personnel and curriculum has taken place to improve progress in Key Stage 3. </w:t>
      </w:r>
    </w:p>
    <w:p>
      <w:pPr>
        <w:pStyle w:val="Heading3"/>
        <w:rPr>
          <w:rFonts w:asciiTheme="minorHAnsi" w:hAnsiTheme="minorHAnsi"/>
          <w:sz w:val="24"/>
          <w:szCs w:val="24"/>
        </w:rPr>
      </w:pPr>
      <w:bookmarkStart w:id="16" w:name="_Toc115268627"/>
      <w:r>
        <w:rPr>
          <w:rFonts w:asciiTheme="minorHAnsi" w:hAnsiTheme="minorHAnsi"/>
          <w:sz w:val="24"/>
          <w:szCs w:val="24"/>
        </w:rPr>
        <w:t>Key Stage 4</w:t>
      </w:r>
      <w:bookmarkEnd w:id="15"/>
      <w:bookmarkEnd w:id="16"/>
    </w:p>
    <w:p>
      <w:r>
        <w:t xml:space="preserve">Engagement and learning in the Year 11 cohort was generally good for the pupils with good attendance, with most pupils achieving close to or at their target levels for the subjects in </w:t>
      </w:r>
      <w:proofErr w:type="gramStart"/>
      <w:r>
        <w:t>which</w:t>
      </w:r>
      <w:proofErr w:type="gramEnd"/>
      <w:r>
        <w:t xml:space="preserve"> they were entered, 5 out of 6 pupils achieved external accreditation in at least 3 subjects. All Year 11 pupils were supported with intervention strategies and additional sessions if required throughout the year. 100% of the </w:t>
      </w:r>
      <w:proofErr w:type="gramStart"/>
      <w:r>
        <w:t>cohort have</w:t>
      </w:r>
      <w:proofErr w:type="gramEnd"/>
      <w:r>
        <w:t xml:space="preserve"> successfully gone on to secure a place in further education and initial feedback is they are all attending their placements. This will be followed up throughout the year.  See </w:t>
      </w:r>
      <w:r>
        <w:rPr>
          <w:b/>
        </w:rPr>
        <w:t>pages (</w:t>
      </w:r>
      <w:r>
        <w:t>9-11</w:t>
      </w:r>
      <w:proofErr w:type="gramStart"/>
      <w:r>
        <w:t>)for</w:t>
      </w:r>
      <w:proofErr w:type="gramEnd"/>
      <w:r>
        <w:t xml:space="preserve"> full results and analysis.</w:t>
      </w:r>
    </w:p>
    <w:p>
      <w:r>
        <w:t>Year 10 progress figures were compromised by 2 of the pupils being persistent non-attenders, particularly in the earlier part of the year,  however both pupils showed an improvement in attendance and this was reflected in their progress and engagement and are in a better position to continue their progression into Year 11.Continuing on from the success of the previous year, the Year 11 group are located in separate area of the school where they have their own class room and breakout area to help them focus on their studies and prepare them successfully for a Post 16 environment.</w:t>
      </w:r>
    </w:p>
    <w:p>
      <w:pPr>
        <w:spacing w:after="0" w:line="240" w:lineRule="auto"/>
        <w:jc w:val="center"/>
        <w:rPr>
          <w:rFonts w:eastAsia="Times New Roman"/>
          <w:color w:val="000000"/>
          <w:lang w:eastAsia="en-GB"/>
        </w:rPr>
        <w:sectPr>
          <w:pgSz w:w="11906" w:h="16838"/>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1342"/>
        <w:gridCol w:w="1343"/>
        <w:gridCol w:w="840"/>
        <w:gridCol w:w="868"/>
        <w:gridCol w:w="812"/>
        <w:gridCol w:w="731"/>
        <w:gridCol w:w="812"/>
        <w:gridCol w:w="1343"/>
        <w:gridCol w:w="1009"/>
        <w:gridCol w:w="902"/>
        <w:gridCol w:w="1449"/>
        <w:gridCol w:w="1415"/>
        <w:gridCol w:w="1343"/>
        <w:gridCol w:w="1405"/>
      </w:tblGrid>
      <w:tr>
        <w:trPr>
          <w:trHeight w:val="330"/>
        </w:trPr>
        <w:tc>
          <w:tcPr>
            <w:tcW w:w="430" w:type="pct"/>
            <w:tcBorders>
              <w:top w:val="single" w:sz="8" w:space="0" w:color="auto"/>
              <w:left w:val="single" w:sz="8" w:space="0" w:color="auto"/>
              <w:bottom w:val="nil"/>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w:t>
            </w:r>
          </w:p>
        </w:tc>
        <w:tc>
          <w:tcPr>
            <w:tcW w:w="4570" w:type="pct"/>
            <w:gridSpan w:val="13"/>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jc w:val="center"/>
              <w:rPr>
                <w:rFonts w:ascii="Calibri" w:eastAsia="Times New Roman" w:hAnsi="Calibri" w:cs="Calibri"/>
                <w:b/>
                <w:bCs/>
                <w:color w:val="000000"/>
                <w:sz w:val="24"/>
                <w:szCs w:val="24"/>
                <w:u w:val="single"/>
                <w:lang w:eastAsia="en-GB"/>
              </w:rPr>
            </w:pPr>
            <w:r>
              <w:rPr>
                <w:rFonts w:ascii="Calibri" w:eastAsia="Times New Roman" w:hAnsi="Calibri" w:cs="Calibri"/>
                <w:b/>
                <w:bCs/>
                <w:color w:val="000000"/>
                <w:sz w:val="24"/>
                <w:szCs w:val="24"/>
                <w:u w:val="single"/>
                <w:lang w:eastAsia="en-GB"/>
              </w:rPr>
              <w:t>Y11 Actual Examination Results for Summer 2022</w:t>
            </w:r>
          </w:p>
        </w:tc>
      </w:tr>
      <w:tr>
        <w:trPr>
          <w:trHeight w:val="630"/>
        </w:trPr>
        <w:tc>
          <w:tcPr>
            <w:tcW w:w="430" w:type="pct"/>
            <w:tcBorders>
              <w:top w:val="nil"/>
              <w:left w:val="single" w:sz="8" w:space="0" w:color="auto"/>
              <w:bottom w:val="nil"/>
              <w:right w:val="single" w:sz="8" w:space="0" w:color="auto"/>
            </w:tcBorders>
            <w:shd w:val="clear" w:color="auto" w:fill="auto"/>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Pupil Name</w:t>
            </w:r>
          </w:p>
        </w:tc>
        <w:tc>
          <w:tcPr>
            <w:tcW w:w="430"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GCSE Maths  foundation / Higher</w:t>
            </w:r>
          </w:p>
        </w:tc>
        <w:tc>
          <w:tcPr>
            <w:tcW w:w="269"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GCSE English Language</w:t>
            </w:r>
          </w:p>
        </w:tc>
        <w:tc>
          <w:tcPr>
            <w:tcW w:w="278"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GCSE English Literature</w:t>
            </w:r>
          </w:p>
        </w:tc>
        <w:tc>
          <w:tcPr>
            <w:tcW w:w="260"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GCSE Chemistry</w:t>
            </w:r>
          </w:p>
        </w:tc>
        <w:tc>
          <w:tcPr>
            <w:tcW w:w="234"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GCSE Art</w:t>
            </w:r>
          </w:p>
        </w:tc>
        <w:tc>
          <w:tcPr>
            <w:tcW w:w="260"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GCSE German </w:t>
            </w:r>
          </w:p>
        </w:tc>
        <w:tc>
          <w:tcPr>
            <w:tcW w:w="430"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Cambridge Nationals Award /Certificate in Creative</w:t>
            </w:r>
          </w:p>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I media</w:t>
            </w:r>
          </w:p>
        </w:tc>
        <w:tc>
          <w:tcPr>
            <w:tcW w:w="323"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BTEC Award in Basic Cooking Skills  – Level 1/2</w:t>
            </w:r>
          </w:p>
        </w:tc>
        <w:tc>
          <w:tcPr>
            <w:tcW w:w="289"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Functional Skills ICT  </w:t>
            </w:r>
          </w:p>
        </w:tc>
        <w:tc>
          <w:tcPr>
            <w:tcW w:w="464"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GCSE Biology</w:t>
            </w:r>
          </w:p>
        </w:tc>
        <w:tc>
          <w:tcPr>
            <w:tcW w:w="453" w:type="pct"/>
            <w:vMerge w:val="restart"/>
            <w:tcBorders>
              <w:top w:val="nil"/>
              <w:left w:val="single" w:sz="8" w:space="0" w:color="auto"/>
              <w:bottom w:val="single" w:sz="8" w:space="0" w:color="000000"/>
              <w:right w:val="single" w:sz="8" w:space="0" w:color="auto"/>
            </w:tcBorders>
            <w:shd w:val="clear" w:color="000000" w:fill="D6E3BC"/>
            <w:textDirection w:val="btLr"/>
            <w:vAlign w:val="center"/>
            <w:hideMark/>
          </w:tcPr>
          <w:p>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Attainment 8</w:t>
            </w:r>
          </w:p>
        </w:tc>
        <w:tc>
          <w:tcPr>
            <w:tcW w:w="430"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Level 2 Qualifications</w:t>
            </w:r>
          </w:p>
        </w:tc>
        <w:tc>
          <w:tcPr>
            <w:tcW w:w="451"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High Quality Counting</w:t>
            </w:r>
          </w:p>
        </w:tc>
      </w:tr>
      <w:tr>
        <w:trPr>
          <w:trHeight w:val="315"/>
        </w:trPr>
        <w:tc>
          <w:tcPr>
            <w:tcW w:w="430" w:type="pct"/>
            <w:tcBorders>
              <w:top w:val="nil"/>
              <w:left w:val="single" w:sz="8" w:space="0" w:color="auto"/>
              <w:bottom w:val="nil"/>
              <w:right w:val="single" w:sz="8" w:space="0" w:color="auto"/>
            </w:tcBorders>
            <w:shd w:val="clear" w:color="auto" w:fill="auto"/>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9"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78"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34"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323"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89"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64"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53"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4"/>
                <w:szCs w:val="24"/>
                <w:lang w:eastAsia="en-GB"/>
              </w:rPr>
            </w:pP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51"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r>
      <w:tr>
        <w:trPr>
          <w:trHeight w:val="315"/>
        </w:trPr>
        <w:tc>
          <w:tcPr>
            <w:tcW w:w="430" w:type="pct"/>
            <w:tcBorders>
              <w:top w:val="nil"/>
              <w:left w:val="single" w:sz="8" w:space="0" w:color="auto"/>
              <w:bottom w:val="nil"/>
              <w:right w:val="single" w:sz="8" w:space="0" w:color="auto"/>
            </w:tcBorders>
            <w:shd w:val="clear" w:color="auto" w:fill="auto"/>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9"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78"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34"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323"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89"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64"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53"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4"/>
                <w:szCs w:val="24"/>
                <w:lang w:eastAsia="en-GB"/>
              </w:rPr>
            </w:pP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51"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r>
      <w:tr>
        <w:trPr>
          <w:trHeight w:val="315"/>
        </w:trPr>
        <w:tc>
          <w:tcPr>
            <w:tcW w:w="430" w:type="pct"/>
            <w:tcBorders>
              <w:top w:val="nil"/>
              <w:left w:val="single" w:sz="8" w:space="0" w:color="auto"/>
              <w:bottom w:val="nil"/>
              <w:right w:val="single" w:sz="8" w:space="0" w:color="auto"/>
            </w:tcBorders>
            <w:shd w:val="clear" w:color="auto" w:fill="auto"/>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9"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78"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34"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323"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89"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64"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53"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4"/>
                <w:szCs w:val="24"/>
                <w:lang w:eastAsia="en-GB"/>
              </w:rPr>
            </w:pP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51"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r>
      <w:tr>
        <w:trPr>
          <w:trHeight w:val="315"/>
        </w:trPr>
        <w:tc>
          <w:tcPr>
            <w:tcW w:w="430" w:type="pct"/>
            <w:tcBorders>
              <w:top w:val="nil"/>
              <w:left w:val="single" w:sz="8" w:space="0" w:color="auto"/>
              <w:bottom w:val="nil"/>
              <w:right w:val="single" w:sz="8" w:space="0" w:color="auto"/>
            </w:tcBorders>
            <w:shd w:val="clear" w:color="auto" w:fill="auto"/>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9"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78"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34"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323"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89"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64"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53"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4"/>
                <w:szCs w:val="24"/>
                <w:lang w:eastAsia="en-GB"/>
              </w:rPr>
            </w:pP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51"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r>
      <w:tr>
        <w:trPr>
          <w:trHeight w:val="1073"/>
        </w:trPr>
        <w:tc>
          <w:tcPr>
            <w:tcW w:w="430" w:type="pct"/>
            <w:tcBorders>
              <w:top w:val="nil"/>
              <w:left w:val="single" w:sz="8" w:space="0" w:color="auto"/>
              <w:bottom w:val="single" w:sz="8" w:space="0" w:color="auto"/>
              <w:right w:val="single" w:sz="8" w:space="0" w:color="auto"/>
            </w:tcBorders>
            <w:shd w:val="clear" w:color="auto" w:fill="auto"/>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9"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78"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34"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6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323"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289"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64"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53"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b/>
                <w:bCs/>
                <w:color w:val="000000"/>
                <w:sz w:val="24"/>
                <w:szCs w:val="24"/>
                <w:lang w:eastAsia="en-GB"/>
              </w:rPr>
            </w:pPr>
          </w:p>
        </w:tc>
        <w:tc>
          <w:tcPr>
            <w:tcW w:w="430"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c>
          <w:tcPr>
            <w:tcW w:w="451" w:type="pct"/>
            <w:vMerge/>
            <w:tcBorders>
              <w:top w:val="nil"/>
              <w:left w:val="single" w:sz="8" w:space="0" w:color="auto"/>
              <w:bottom w:val="single" w:sz="8" w:space="0" w:color="000000"/>
              <w:right w:val="single" w:sz="8" w:space="0" w:color="auto"/>
            </w:tcBorders>
            <w:vAlign w:val="center"/>
            <w:hideMark/>
          </w:tcPr>
          <w:p>
            <w:pPr>
              <w:spacing w:after="0" w:line="240" w:lineRule="auto"/>
              <w:rPr>
                <w:rFonts w:ascii="Calibri" w:eastAsia="Times New Roman" w:hAnsi="Calibri" w:cs="Calibri"/>
                <w:color w:val="000000"/>
                <w:sz w:val="24"/>
                <w:szCs w:val="24"/>
                <w:lang w:eastAsia="en-GB"/>
              </w:rPr>
            </w:pPr>
          </w:p>
        </w:tc>
      </w:tr>
      <w:tr>
        <w:trPr>
          <w:trHeight w:val="585"/>
        </w:trPr>
        <w:tc>
          <w:tcPr>
            <w:tcW w:w="430" w:type="pct"/>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Pupil A</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6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c>
          <w:tcPr>
            <w:tcW w:w="278"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3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323"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8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6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53" w:type="pct"/>
            <w:tcBorders>
              <w:top w:val="nil"/>
              <w:left w:val="nil"/>
              <w:bottom w:val="single" w:sz="8" w:space="0" w:color="auto"/>
              <w:right w:val="single" w:sz="8" w:space="0" w:color="auto"/>
            </w:tcBorders>
            <w:shd w:val="clear" w:color="000000" w:fill="D6E3BC"/>
            <w:vAlign w:val="center"/>
            <w:hideMark/>
          </w:tcPr>
          <w:p>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8</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451"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r>
      <w:tr>
        <w:trPr>
          <w:trHeight w:val="960"/>
        </w:trPr>
        <w:tc>
          <w:tcPr>
            <w:tcW w:w="430" w:type="pct"/>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Pupil B</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8 (H)</w:t>
            </w:r>
          </w:p>
        </w:tc>
        <w:tc>
          <w:tcPr>
            <w:tcW w:w="26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c>
          <w:tcPr>
            <w:tcW w:w="278"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23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323"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Level 2 Pass</w:t>
            </w:r>
          </w:p>
        </w:tc>
        <w:tc>
          <w:tcPr>
            <w:tcW w:w="28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6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w:t>
            </w:r>
          </w:p>
        </w:tc>
        <w:tc>
          <w:tcPr>
            <w:tcW w:w="453" w:type="pct"/>
            <w:tcBorders>
              <w:top w:val="nil"/>
              <w:left w:val="nil"/>
              <w:bottom w:val="single" w:sz="8" w:space="0" w:color="auto"/>
              <w:right w:val="single" w:sz="8" w:space="0" w:color="auto"/>
            </w:tcBorders>
            <w:shd w:val="clear" w:color="000000" w:fill="D6E3BC"/>
            <w:vAlign w:val="center"/>
            <w:hideMark/>
          </w:tcPr>
          <w:p>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45</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w:t>
            </w:r>
          </w:p>
        </w:tc>
        <w:tc>
          <w:tcPr>
            <w:tcW w:w="451"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w:t>
            </w:r>
          </w:p>
        </w:tc>
      </w:tr>
      <w:tr>
        <w:trPr>
          <w:trHeight w:val="585"/>
        </w:trPr>
        <w:tc>
          <w:tcPr>
            <w:tcW w:w="430" w:type="pct"/>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Pupil C</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c>
          <w:tcPr>
            <w:tcW w:w="26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c>
          <w:tcPr>
            <w:tcW w:w="278"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c>
          <w:tcPr>
            <w:tcW w:w="23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P2</w:t>
            </w:r>
          </w:p>
        </w:tc>
        <w:tc>
          <w:tcPr>
            <w:tcW w:w="323"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8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6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53" w:type="pct"/>
            <w:tcBorders>
              <w:top w:val="nil"/>
              <w:left w:val="nil"/>
              <w:bottom w:val="single" w:sz="8" w:space="0" w:color="auto"/>
              <w:right w:val="single" w:sz="8" w:space="0" w:color="auto"/>
            </w:tcBorders>
            <w:shd w:val="clear" w:color="000000" w:fill="D6E3BC"/>
            <w:vAlign w:val="center"/>
            <w:hideMark/>
          </w:tcPr>
          <w:p>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25</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451"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w:t>
            </w:r>
          </w:p>
        </w:tc>
      </w:tr>
      <w:tr>
        <w:trPr>
          <w:trHeight w:val="585"/>
        </w:trPr>
        <w:tc>
          <w:tcPr>
            <w:tcW w:w="430" w:type="pct"/>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Pupil D</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c>
          <w:tcPr>
            <w:tcW w:w="26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78"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3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P1</w:t>
            </w:r>
          </w:p>
        </w:tc>
        <w:tc>
          <w:tcPr>
            <w:tcW w:w="323"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P1</w:t>
            </w:r>
          </w:p>
        </w:tc>
        <w:tc>
          <w:tcPr>
            <w:tcW w:w="28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6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53" w:type="pct"/>
            <w:tcBorders>
              <w:top w:val="nil"/>
              <w:left w:val="nil"/>
              <w:bottom w:val="single" w:sz="8" w:space="0" w:color="auto"/>
              <w:right w:val="single" w:sz="8" w:space="0" w:color="auto"/>
            </w:tcBorders>
            <w:shd w:val="clear" w:color="000000" w:fill="D6E3BC"/>
            <w:vAlign w:val="center"/>
            <w:hideMark/>
          </w:tcPr>
          <w:p>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13</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w:t>
            </w:r>
          </w:p>
        </w:tc>
        <w:tc>
          <w:tcPr>
            <w:tcW w:w="451"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r>
      <w:tr>
        <w:trPr>
          <w:trHeight w:val="960"/>
        </w:trPr>
        <w:tc>
          <w:tcPr>
            <w:tcW w:w="430" w:type="pct"/>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Pupil E</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6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278"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3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323"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8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L2 pass</w:t>
            </w:r>
          </w:p>
        </w:tc>
        <w:tc>
          <w:tcPr>
            <w:tcW w:w="46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53" w:type="pct"/>
            <w:tcBorders>
              <w:top w:val="nil"/>
              <w:left w:val="nil"/>
              <w:bottom w:val="single" w:sz="8" w:space="0" w:color="auto"/>
              <w:right w:val="single" w:sz="8" w:space="0" w:color="auto"/>
            </w:tcBorders>
            <w:shd w:val="clear" w:color="000000" w:fill="D6E3BC"/>
            <w:vAlign w:val="center"/>
            <w:hideMark/>
          </w:tcPr>
          <w:p>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7</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451"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r>
      <w:tr>
        <w:trPr>
          <w:trHeight w:val="585"/>
        </w:trPr>
        <w:tc>
          <w:tcPr>
            <w:tcW w:w="430" w:type="pct"/>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Pupil F</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w:t>
            </w:r>
          </w:p>
        </w:tc>
        <w:tc>
          <w:tcPr>
            <w:tcW w:w="26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c>
          <w:tcPr>
            <w:tcW w:w="278"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c>
          <w:tcPr>
            <w:tcW w:w="234"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c>
          <w:tcPr>
            <w:tcW w:w="26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30"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D1</w:t>
            </w:r>
          </w:p>
        </w:tc>
        <w:tc>
          <w:tcPr>
            <w:tcW w:w="323"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289" w:type="pct"/>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w:t>
            </w:r>
          </w:p>
        </w:tc>
        <w:tc>
          <w:tcPr>
            <w:tcW w:w="464" w:type="pct"/>
            <w:tcBorders>
              <w:top w:val="nil"/>
              <w:left w:val="nil"/>
              <w:bottom w:val="nil"/>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453" w:type="pct"/>
            <w:tcBorders>
              <w:top w:val="nil"/>
              <w:left w:val="nil"/>
              <w:bottom w:val="nil"/>
              <w:right w:val="single" w:sz="8" w:space="0" w:color="auto"/>
            </w:tcBorders>
            <w:shd w:val="clear" w:color="000000" w:fill="D6E3BC"/>
            <w:vAlign w:val="center"/>
            <w:hideMark/>
          </w:tcPr>
          <w:p>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24</w:t>
            </w:r>
          </w:p>
        </w:tc>
        <w:tc>
          <w:tcPr>
            <w:tcW w:w="430" w:type="pct"/>
            <w:tcBorders>
              <w:top w:val="nil"/>
              <w:left w:val="nil"/>
              <w:bottom w:val="nil"/>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c>
          <w:tcPr>
            <w:tcW w:w="451" w:type="pct"/>
            <w:tcBorders>
              <w:top w:val="nil"/>
              <w:left w:val="nil"/>
              <w:bottom w:val="nil"/>
              <w:right w:val="single" w:sz="8" w:space="0" w:color="auto"/>
            </w:tcBorders>
            <w:shd w:val="clear" w:color="auto" w:fill="auto"/>
            <w:vAlign w:val="center"/>
            <w:hideMark/>
          </w:tcPr>
          <w:p>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w:t>
            </w:r>
          </w:p>
        </w:tc>
      </w:tr>
      <w:tr>
        <w:trPr>
          <w:trHeight w:val="330"/>
        </w:trPr>
        <w:tc>
          <w:tcPr>
            <w:tcW w:w="430" w:type="pct"/>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4"/>
                <w:szCs w:val="24"/>
                <w:lang w:eastAsia="en-GB"/>
              </w:rPr>
            </w:pPr>
          </w:p>
        </w:tc>
        <w:tc>
          <w:tcPr>
            <w:tcW w:w="430" w:type="pct"/>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4"/>
                <w:szCs w:val="24"/>
                <w:lang w:eastAsia="en-GB"/>
              </w:rPr>
            </w:pPr>
          </w:p>
        </w:tc>
        <w:tc>
          <w:tcPr>
            <w:tcW w:w="269" w:type="pct"/>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4"/>
                <w:szCs w:val="24"/>
                <w:lang w:eastAsia="en-GB"/>
              </w:rPr>
            </w:pPr>
          </w:p>
        </w:tc>
        <w:tc>
          <w:tcPr>
            <w:tcW w:w="278" w:type="pct"/>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4"/>
                <w:szCs w:val="24"/>
                <w:lang w:eastAsia="en-GB"/>
              </w:rPr>
            </w:pPr>
          </w:p>
        </w:tc>
        <w:tc>
          <w:tcPr>
            <w:tcW w:w="260" w:type="pct"/>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4"/>
                <w:szCs w:val="24"/>
                <w:lang w:eastAsia="en-GB"/>
              </w:rPr>
            </w:pPr>
          </w:p>
        </w:tc>
        <w:tc>
          <w:tcPr>
            <w:tcW w:w="234" w:type="pct"/>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4"/>
                <w:szCs w:val="24"/>
                <w:lang w:eastAsia="en-GB"/>
              </w:rPr>
            </w:pPr>
          </w:p>
        </w:tc>
        <w:tc>
          <w:tcPr>
            <w:tcW w:w="260" w:type="pct"/>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4"/>
                <w:szCs w:val="24"/>
                <w:lang w:eastAsia="en-GB"/>
              </w:rPr>
            </w:pPr>
          </w:p>
        </w:tc>
        <w:tc>
          <w:tcPr>
            <w:tcW w:w="430" w:type="pct"/>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4"/>
                <w:szCs w:val="24"/>
                <w:lang w:eastAsia="en-GB"/>
              </w:rPr>
            </w:pPr>
          </w:p>
        </w:tc>
        <w:tc>
          <w:tcPr>
            <w:tcW w:w="323" w:type="pct"/>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4"/>
                <w:szCs w:val="24"/>
                <w:lang w:eastAsia="en-GB"/>
              </w:rPr>
            </w:pPr>
          </w:p>
        </w:tc>
        <w:tc>
          <w:tcPr>
            <w:tcW w:w="289" w:type="pct"/>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4"/>
                <w:szCs w:val="24"/>
                <w:lang w:eastAsia="en-GB"/>
              </w:rPr>
            </w:pPr>
          </w:p>
        </w:tc>
        <w:tc>
          <w:tcPr>
            <w:tcW w:w="464" w:type="pct"/>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ascii="Calibri" w:eastAsia="Times New Roman" w:hAnsi="Calibri" w:cs="Calibri"/>
                <w:b/>
                <w:bCs/>
                <w:color w:val="FF0000"/>
                <w:sz w:val="24"/>
                <w:szCs w:val="24"/>
                <w:lang w:eastAsia="en-GB"/>
              </w:rPr>
            </w:pPr>
            <w:r>
              <w:rPr>
                <w:rFonts w:ascii="Calibri" w:eastAsia="Times New Roman" w:hAnsi="Calibri" w:cs="Calibri"/>
                <w:b/>
                <w:bCs/>
                <w:color w:val="FF0000"/>
                <w:sz w:val="24"/>
                <w:szCs w:val="24"/>
                <w:lang w:eastAsia="en-GB"/>
              </w:rPr>
              <w:t>Average</w:t>
            </w:r>
          </w:p>
        </w:tc>
        <w:tc>
          <w:tcPr>
            <w:tcW w:w="453" w:type="pct"/>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jc w:val="right"/>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20.3333</w:t>
            </w:r>
          </w:p>
        </w:tc>
        <w:tc>
          <w:tcPr>
            <w:tcW w:w="430" w:type="pct"/>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jc w:val="right"/>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2</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jc w:val="right"/>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4.33333</w:t>
            </w:r>
          </w:p>
        </w:tc>
      </w:tr>
    </w:tbl>
    <w:p>
      <w:pPr>
        <w:rPr>
          <w:sz w:val="20"/>
          <w:szCs w:val="20"/>
        </w:rPr>
      </w:pPr>
    </w:p>
    <w:p>
      <w:pPr>
        <w:sectPr>
          <w:pgSz w:w="16838" w:h="11906" w:orient="landscape"/>
          <w:pgMar w:top="720" w:right="720" w:bottom="720" w:left="720" w:header="708" w:footer="708" w:gutter="0"/>
          <w:cols w:space="708"/>
          <w:docGrid w:linePitch="360"/>
        </w:sectPr>
      </w:pPr>
    </w:p>
    <w:p>
      <w:pPr>
        <w:pStyle w:val="Heading2"/>
        <w:rPr>
          <w:rFonts w:asciiTheme="minorHAnsi" w:hAnsiTheme="minorHAnsi"/>
        </w:rPr>
      </w:pPr>
      <w:bookmarkStart w:id="17" w:name="_2020_Cohort_Key"/>
      <w:bookmarkStart w:id="18" w:name="_Toc57719804"/>
      <w:bookmarkStart w:id="19" w:name="_Toc115268628"/>
      <w:bookmarkEnd w:id="17"/>
      <w:r>
        <w:rPr>
          <w:rFonts w:asciiTheme="minorHAnsi" w:hAnsiTheme="minorHAnsi"/>
        </w:rPr>
        <w:lastRenderedPageBreak/>
        <w:t>2022 Y11 Cohort Key Stage 4 Results</w:t>
      </w:r>
      <w:bookmarkEnd w:id="18"/>
      <w:bookmarkEnd w:id="19"/>
    </w:p>
    <w:p>
      <w:pPr>
        <w:pStyle w:val="Heading3"/>
        <w:rPr>
          <w:rFonts w:asciiTheme="minorHAnsi" w:hAnsiTheme="minorHAnsi"/>
          <w:sz w:val="24"/>
          <w:szCs w:val="24"/>
        </w:rPr>
      </w:pPr>
      <w:bookmarkStart w:id="20" w:name="_Toc57719805"/>
      <w:bookmarkStart w:id="21" w:name="_Toc115268629"/>
      <w:r>
        <w:rPr>
          <w:rFonts w:asciiTheme="minorHAnsi" w:hAnsiTheme="minorHAnsi"/>
          <w:sz w:val="24"/>
          <w:szCs w:val="24"/>
        </w:rPr>
        <w:t>Overview</w:t>
      </w:r>
      <w:bookmarkEnd w:id="20"/>
      <w:bookmarkEnd w:id="21"/>
    </w:p>
    <w:p>
      <w:r>
        <w:t xml:space="preserve">7 Pupils achieved externally accredited qualifications (6 year 11 and 1 year 10). </w:t>
      </w:r>
    </w:p>
    <w:p>
      <w:r>
        <w:t xml:space="preserve">1 pupil achieved five or more Level 2 qualifications (GCSE Level 4 or old C grade and Higher).  This is the same as the previous year, which were based on predicted grades via Tag assessment removing the anxiety barrier to exams some of our students experience. 4 of the 6 pupils achieved over 5 externally accredited exams at Level 1 and 2.   All 6 of the 2022 leavers successfully gained a college placement to further their studies. </w:t>
      </w:r>
    </w:p>
    <w:p>
      <w:r>
        <w:t>1 pupil achieved 4 or more level 2 qualifications including either English or Maths, the same as the previous year.  All 6 Year 11 pupils achieved at least a level 1 grade in Maths and English GCSE.</w:t>
      </w:r>
    </w:p>
    <w:p>
      <w:r>
        <w:t xml:space="preserve"> There remained a stronger % of pupils achieving qualifications at levels 1 and 2 that are classed as ‘higher quality’ qualifications by the DOE that count towards attainment and progress 8, continuing the trend after review in 2018 to offer more such qualifications, and leading to a wider range of accessible courses at college</w:t>
      </w:r>
    </w:p>
    <w:p>
      <w:r>
        <w:t xml:space="preserve">Although league tables have been suspended for the last 2 academic years there has been a slight decrease from the previous year in Attainment 8 scores, but very consistent across 3 out of the previous 4 years.  Due to the diverse curriculum pathway we offer attainment 8 provides a better way of tracking whole school progress than the Progress 8 score. This measure scores pupils across up to 8 qualifications that are approved by the </w:t>
      </w:r>
      <w:proofErr w:type="spellStart"/>
      <w:r>
        <w:t>DfE</w:t>
      </w:r>
      <w:proofErr w:type="spellEnd"/>
      <w:r>
        <w:t xml:space="preserve"> for inclusion on the school league tables. There has been a an improvement in </w:t>
      </w:r>
      <w:proofErr w:type="gramStart"/>
      <w:r>
        <w:t>overall  Attainment</w:t>
      </w:r>
      <w:proofErr w:type="gramEnd"/>
      <w:r>
        <w:t xml:space="preserve"> 8 score average since 2019. From a sample of 16 similar regional schools we have measured ourselves against in terms of Attainment 8 we have ranked 2</w:t>
      </w:r>
      <w:r>
        <w:rPr>
          <w:vertAlign w:val="superscript"/>
        </w:rPr>
        <w:t>nd</w:t>
      </w:r>
      <w:r>
        <w:t xml:space="preserve"> both in 2019 and 2022 (data was not published in 2020 &amp;2021) and provides a good benchmark on the quality of academic outcomes against similar settings</w:t>
      </w:r>
      <w:bookmarkStart w:id="22" w:name="_GoBack"/>
      <w:bookmarkEnd w:id="22"/>
    </w:p>
    <w:p>
      <w:pPr>
        <w:pStyle w:val="Heading2"/>
        <w:rPr>
          <w:rFonts w:asciiTheme="minorHAnsi" w:hAnsiTheme="minorHAnsi"/>
        </w:rPr>
      </w:pPr>
      <w:bookmarkStart w:id="23" w:name="_Toc115268630"/>
      <w:r>
        <w:rPr>
          <w:rFonts w:asciiTheme="minorHAnsi" w:hAnsiTheme="minorHAnsi"/>
        </w:rPr>
        <w:t>Attainment 8 Scores</w:t>
      </w:r>
      <w:bookmarkEnd w:id="23"/>
    </w:p>
    <w:tbl>
      <w:tblPr>
        <w:tblW w:w="1911" w:type="dxa"/>
        <w:tblInd w:w="93" w:type="dxa"/>
        <w:tblLook w:val="04A0" w:firstRow="1" w:lastRow="0" w:firstColumn="1" w:lastColumn="0" w:noHBand="0" w:noVBand="1"/>
      </w:tblPr>
      <w:tblGrid>
        <w:gridCol w:w="1184"/>
        <w:gridCol w:w="951"/>
      </w:tblGrid>
      <w:tr>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b/>
                <w:color w:val="000000"/>
                <w:sz w:val="32"/>
                <w:szCs w:val="32"/>
                <w:lang w:eastAsia="en-GB"/>
              </w:rPr>
            </w:pPr>
            <w:r>
              <w:rPr>
                <w:rFonts w:ascii="Calibri" w:eastAsia="Times New Roman" w:hAnsi="Calibri" w:cs="Times New Roman"/>
                <w:b/>
                <w:color w:val="000000"/>
                <w:sz w:val="32"/>
                <w:szCs w:val="32"/>
                <w:lang w:eastAsia="en-GB"/>
              </w:rPr>
              <w:t>2016</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b/>
                <w:color w:val="FF0000"/>
                <w:sz w:val="32"/>
                <w:szCs w:val="32"/>
                <w:lang w:eastAsia="en-GB"/>
              </w:rPr>
            </w:pPr>
            <w:r>
              <w:rPr>
                <w:rFonts w:ascii="Calibri" w:eastAsia="Times New Roman" w:hAnsi="Calibri" w:cs="Times New Roman"/>
                <w:b/>
                <w:color w:val="FF0000"/>
                <w:sz w:val="32"/>
                <w:szCs w:val="32"/>
                <w:lang w:eastAsia="en-GB"/>
              </w:rPr>
              <w:t>3.3</w:t>
            </w:r>
          </w:p>
        </w:tc>
      </w:tr>
      <w:tr>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b/>
                <w:color w:val="000000"/>
                <w:sz w:val="32"/>
                <w:szCs w:val="32"/>
                <w:lang w:eastAsia="en-GB"/>
              </w:rPr>
            </w:pPr>
            <w:r>
              <w:rPr>
                <w:rFonts w:ascii="Calibri" w:eastAsia="Times New Roman" w:hAnsi="Calibri" w:cs="Times New Roman"/>
                <w:b/>
                <w:color w:val="000000"/>
                <w:sz w:val="32"/>
                <w:szCs w:val="32"/>
                <w:lang w:eastAsia="en-GB"/>
              </w:rPr>
              <w:t>2017</w:t>
            </w:r>
          </w:p>
        </w:tc>
        <w:tc>
          <w:tcPr>
            <w:tcW w:w="95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b/>
                <w:color w:val="FF0000"/>
                <w:sz w:val="32"/>
                <w:szCs w:val="32"/>
                <w:lang w:eastAsia="en-GB"/>
              </w:rPr>
            </w:pPr>
            <w:r>
              <w:rPr>
                <w:rFonts w:ascii="Calibri" w:eastAsia="Times New Roman" w:hAnsi="Calibri" w:cs="Times New Roman"/>
                <w:b/>
                <w:color w:val="FF0000"/>
                <w:sz w:val="32"/>
                <w:szCs w:val="32"/>
                <w:lang w:eastAsia="en-GB"/>
              </w:rPr>
              <w:t>5.7</w:t>
            </w:r>
          </w:p>
        </w:tc>
      </w:tr>
      <w:tr>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b/>
                <w:color w:val="000000"/>
                <w:sz w:val="32"/>
                <w:szCs w:val="32"/>
                <w:lang w:eastAsia="en-GB"/>
              </w:rPr>
            </w:pPr>
            <w:r>
              <w:rPr>
                <w:rFonts w:ascii="Calibri" w:eastAsia="Times New Roman" w:hAnsi="Calibri" w:cs="Times New Roman"/>
                <w:b/>
                <w:color w:val="000000"/>
                <w:sz w:val="32"/>
                <w:szCs w:val="32"/>
                <w:lang w:eastAsia="en-GB"/>
              </w:rPr>
              <w:t>2018</w:t>
            </w:r>
          </w:p>
        </w:tc>
        <w:tc>
          <w:tcPr>
            <w:tcW w:w="95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b/>
                <w:color w:val="FF0000"/>
                <w:sz w:val="32"/>
                <w:szCs w:val="32"/>
                <w:lang w:eastAsia="en-GB"/>
              </w:rPr>
            </w:pPr>
            <w:r>
              <w:rPr>
                <w:rFonts w:ascii="Calibri" w:eastAsia="Times New Roman" w:hAnsi="Calibri" w:cs="Times New Roman"/>
                <w:b/>
                <w:color w:val="FF0000"/>
                <w:sz w:val="32"/>
                <w:szCs w:val="32"/>
                <w:lang w:eastAsia="en-GB"/>
              </w:rPr>
              <w:t>9.09</w:t>
            </w:r>
          </w:p>
        </w:tc>
      </w:tr>
      <w:tr>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b/>
                <w:color w:val="000000"/>
                <w:sz w:val="32"/>
                <w:szCs w:val="32"/>
                <w:lang w:eastAsia="en-GB"/>
              </w:rPr>
            </w:pPr>
            <w:r>
              <w:rPr>
                <w:rFonts w:ascii="Calibri" w:eastAsia="Times New Roman" w:hAnsi="Calibri" w:cs="Times New Roman"/>
                <w:b/>
                <w:color w:val="000000"/>
                <w:sz w:val="32"/>
                <w:szCs w:val="32"/>
                <w:lang w:eastAsia="en-GB"/>
              </w:rPr>
              <w:t>2019</w:t>
            </w:r>
          </w:p>
        </w:tc>
        <w:tc>
          <w:tcPr>
            <w:tcW w:w="95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Times New Roman"/>
                <w:b/>
                <w:color w:val="FF0000"/>
                <w:sz w:val="32"/>
                <w:szCs w:val="32"/>
                <w:lang w:eastAsia="en-GB"/>
              </w:rPr>
            </w:pPr>
            <w:r>
              <w:rPr>
                <w:rFonts w:ascii="Calibri" w:eastAsia="Times New Roman" w:hAnsi="Calibri" w:cs="Times New Roman"/>
                <w:b/>
                <w:color w:val="FF0000"/>
                <w:sz w:val="32"/>
                <w:szCs w:val="32"/>
                <w:lang w:eastAsia="en-GB"/>
              </w:rPr>
              <w:t>13.56</w:t>
            </w:r>
          </w:p>
        </w:tc>
      </w:tr>
      <w:tr>
        <w:trPr>
          <w:trHeight w:val="10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Times New Roman"/>
                <w:b/>
                <w:color w:val="000000"/>
                <w:sz w:val="32"/>
                <w:szCs w:val="32"/>
                <w:lang w:eastAsia="en-GB"/>
              </w:rPr>
            </w:pPr>
            <w:r>
              <w:rPr>
                <w:rFonts w:ascii="Calibri" w:eastAsia="Times New Roman" w:hAnsi="Calibri" w:cs="Times New Roman"/>
                <w:b/>
                <w:color w:val="000000"/>
                <w:sz w:val="32"/>
                <w:szCs w:val="32"/>
                <w:lang w:eastAsia="en-GB"/>
              </w:rPr>
              <w:t>*2020</w:t>
            </w:r>
          </w:p>
        </w:tc>
        <w:tc>
          <w:tcPr>
            <w:tcW w:w="951"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Calibri" w:eastAsia="Times New Roman" w:hAnsi="Calibri" w:cs="Times New Roman"/>
                <w:b/>
                <w:color w:val="FF0000"/>
                <w:sz w:val="32"/>
                <w:szCs w:val="32"/>
                <w:lang w:eastAsia="en-GB"/>
              </w:rPr>
            </w:pPr>
            <w:r>
              <w:rPr>
                <w:rFonts w:ascii="Calibri" w:eastAsia="Times New Roman" w:hAnsi="Calibri" w:cs="Times New Roman"/>
                <w:b/>
                <w:color w:val="FF0000"/>
                <w:sz w:val="32"/>
                <w:szCs w:val="32"/>
                <w:lang w:eastAsia="en-GB"/>
              </w:rPr>
              <w:t>24.1</w:t>
            </w:r>
          </w:p>
        </w:tc>
      </w:tr>
      <w:tr>
        <w:trPr>
          <w:trHeight w:val="10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Times New Roman"/>
                <w:b/>
                <w:color w:val="000000"/>
                <w:sz w:val="32"/>
                <w:szCs w:val="32"/>
                <w:lang w:eastAsia="en-GB"/>
              </w:rPr>
            </w:pPr>
            <w:r>
              <w:rPr>
                <w:rFonts w:ascii="Calibri" w:eastAsia="Times New Roman" w:hAnsi="Calibri" w:cs="Times New Roman"/>
                <w:b/>
                <w:color w:val="000000"/>
                <w:sz w:val="32"/>
                <w:szCs w:val="32"/>
                <w:lang w:eastAsia="en-GB"/>
              </w:rPr>
              <w:t>**2021</w:t>
            </w:r>
          </w:p>
        </w:tc>
        <w:tc>
          <w:tcPr>
            <w:tcW w:w="951"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Calibri" w:eastAsia="Times New Roman" w:hAnsi="Calibri" w:cs="Times New Roman"/>
                <w:b/>
                <w:color w:val="FF0000"/>
                <w:sz w:val="32"/>
                <w:szCs w:val="32"/>
                <w:lang w:eastAsia="en-GB"/>
              </w:rPr>
            </w:pPr>
            <w:r>
              <w:rPr>
                <w:rFonts w:ascii="Calibri" w:eastAsia="Times New Roman" w:hAnsi="Calibri" w:cs="Times New Roman"/>
                <w:b/>
                <w:color w:val="FF0000"/>
                <w:sz w:val="32"/>
                <w:szCs w:val="32"/>
                <w:lang w:eastAsia="en-GB"/>
              </w:rPr>
              <w:t>13.6</w:t>
            </w:r>
          </w:p>
        </w:tc>
      </w:tr>
      <w:tr>
        <w:trPr>
          <w:trHeight w:val="10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Times New Roman"/>
                <w:b/>
                <w:color w:val="000000"/>
                <w:sz w:val="32"/>
                <w:szCs w:val="32"/>
                <w:lang w:eastAsia="en-GB"/>
              </w:rPr>
            </w:pPr>
            <w:r>
              <w:rPr>
                <w:rFonts w:ascii="Calibri" w:eastAsia="Times New Roman" w:hAnsi="Calibri" w:cs="Times New Roman"/>
                <w:b/>
                <w:color w:val="000000"/>
                <w:sz w:val="32"/>
                <w:szCs w:val="32"/>
                <w:lang w:eastAsia="en-GB"/>
              </w:rPr>
              <w:t>2022</w:t>
            </w:r>
          </w:p>
        </w:tc>
        <w:tc>
          <w:tcPr>
            <w:tcW w:w="951"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Calibri" w:eastAsia="Times New Roman" w:hAnsi="Calibri" w:cs="Times New Roman"/>
                <w:b/>
                <w:color w:val="FF0000"/>
                <w:sz w:val="32"/>
                <w:szCs w:val="32"/>
                <w:lang w:eastAsia="en-GB"/>
              </w:rPr>
            </w:pPr>
            <w:r>
              <w:rPr>
                <w:rFonts w:ascii="Calibri" w:eastAsia="Times New Roman" w:hAnsi="Calibri" w:cs="Times New Roman"/>
                <w:b/>
                <w:color w:val="FF0000"/>
                <w:sz w:val="32"/>
                <w:szCs w:val="32"/>
                <w:lang w:eastAsia="en-GB"/>
              </w:rPr>
              <w:t>13.4</w:t>
            </w:r>
          </w:p>
        </w:tc>
      </w:tr>
    </w:tbl>
    <w:p>
      <w:pPr>
        <w:rPr>
          <w:i/>
          <w:sz w:val="24"/>
          <w:szCs w:val="24"/>
        </w:rPr>
      </w:pPr>
      <w:r>
        <w:rPr>
          <w:i/>
          <w:sz w:val="24"/>
          <w:szCs w:val="24"/>
        </w:rPr>
        <w:t>* 2020 is estimated on teacher grades / submitted coursework</w:t>
      </w:r>
    </w:p>
    <w:p>
      <w:pPr>
        <w:rPr>
          <w:i/>
          <w:sz w:val="24"/>
          <w:szCs w:val="24"/>
        </w:rPr>
      </w:pPr>
      <w:r>
        <w:rPr>
          <w:i/>
          <w:sz w:val="24"/>
          <w:szCs w:val="24"/>
        </w:rPr>
        <w:t>** 2021 via Tag Assessment method</w:t>
      </w:r>
    </w:p>
    <w:p>
      <w:r>
        <w:t xml:space="preserve">Overall added value scores v’s pupil predicted grades for qualifications they were entered for were slightly down across all subjects. However this is almost entirely attributed one pupil with high grade expectations but with long term persistence absentee issues who was down by an average -6 grade score, and another pupil, who only joined the school at the end of Year 10 after missing 3 years of education, who although down his CAT4 scores, still done well to achieve 7 GCSES with so little previous </w:t>
      </w:r>
      <w:r>
        <w:lastRenderedPageBreak/>
        <w:t xml:space="preserve">schooling. The CAT4 system works on a pupil’s potential capabilities and KS4 outcomes determined by a series of tests. These outcomes work on the presumption that the pupil will attend school and put in the necessary effort in order to achieve the required outcome. In 2022 2 out of the 6 pupils achieved at least their predicted expected grades, with another 2 within 0.6 of expected grade average for subjects listed.   Individual subject scores compared to previous years can be found below. For individual pupils scores see </w:t>
      </w:r>
      <w:r>
        <w:rPr>
          <w:i/>
        </w:rPr>
        <w:t>figure 1</w:t>
      </w:r>
    </w:p>
    <w:p>
      <w:pPr>
        <w:pStyle w:val="Heading2"/>
        <w:rPr>
          <w:rFonts w:asciiTheme="minorHAnsi" w:hAnsiTheme="minorHAnsi"/>
        </w:rPr>
      </w:pPr>
      <w:bookmarkStart w:id="24" w:name="_Toc115268631"/>
      <w:r>
        <w:rPr>
          <w:rFonts w:asciiTheme="minorHAnsi" w:hAnsiTheme="minorHAnsi"/>
        </w:rPr>
        <w:t>Breakdown of Results by Subjects and Pupils</w:t>
      </w:r>
      <w:bookmarkEnd w:id="24"/>
    </w:p>
    <w:p>
      <w:pPr>
        <w:rPr>
          <w:b/>
          <w:i/>
          <w:sz w:val="28"/>
          <w:szCs w:val="28"/>
          <w:u w:val="single"/>
        </w:rPr>
      </w:pPr>
      <w:r>
        <w:rPr>
          <w:b/>
          <w:i/>
          <w:sz w:val="28"/>
          <w:szCs w:val="28"/>
          <w:u w:val="single"/>
        </w:rPr>
        <w:t xml:space="preserve">2021 Year 11 Cohort –CAT4 Predicted Grade </w:t>
      </w:r>
      <w:proofErr w:type="spellStart"/>
      <w:r>
        <w:rPr>
          <w:b/>
          <w:i/>
          <w:sz w:val="28"/>
          <w:szCs w:val="28"/>
          <w:u w:val="single"/>
        </w:rPr>
        <w:t>vs</w:t>
      </w:r>
      <w:proofErr w:type="spellEnd"/>
      <w:r>
        <w:rPr>
          <w:b/>
          <w:i/>
          <w:sz w:val="28"/>
          <w:szCs w:val="28"/>
          <w:u w:val="single"/>
        </w:rPr>
        <w:t xml:space="preserve"> Actual Summative Exam Grades - Headline Analysis Added Value</w:t>
      </w:r>
    </w:p>
    <w:tbl>
      <w:tblPr>
        <w:tblW w:w="0" w:type="auto"/>
        <w:tblLook w:val="04A0" w:firstRow="1" w:lastRow="0" w:firstColumn="1" w:lastColumn="0" w:noHBand="0" w:noVBand="1"/>
      </w:tblPr>
      <w:tblGrid>
        <w:gridCol w:w="3678"/>
        <w:gridCol w:w="1286"/>
      </w:tblGrid>
      <w:tr>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pPr>
              <w:spacing w:after="0" w:line="240" w:lineRule="auto"/>
              <w:rPr>
                <w:rFonts w:ascii="Calibri" w:eastAsia="Times New Roman" w:hAnsi="Calibri" w:cs="Calibri"/>
                <w:b/>
                <w:color w:val="000000"/>
              </w:rPr>
            </w:pPr>
            <w:r>
              <w:rPr>
                <w:rFonts w:ascii="Calibri" w:eastAsia="Times New Roman" w:hAnsi="Calibri" w:cs="Calibri"/>
                <w:b/>
                <w:color w:val="000000"/>
              </w:rPr>
              <w:t>ENGLISH (6 Pupils)</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On Target</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Above Target</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33%</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Below Target</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70C0"/>
              </w:rPr>
            </w:pPr>
            <w:r>
              <w:rPr>
                <w:rFonts w:ascii="Calibri" w:eastAsia="Times New Roman" w:hAnsi="Calibri" w:cs="Calibri"/>
                <w:color w:val="0070C0"/>
              </w:rPr>
              <w:t>2022 Average Points Grade Difference</w:t>
            </w:r>
          </w:p>
        </w:tc>
        <w:tc>
          <w:tcPr>
            <w:tcW w:w="0" w:type="auto"/>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b/>
                <w:color w:val="000000"/>
              </w:rPr>
            </w:pPr>
            <w:r>
              <w:rPr>
                <w:rFonts w:ascii="Calibri" w:eastAsia="Times New Roman" w:hAnsi="Calibri" w:cs="Calibri"/>
                <w:b/>
                <w:color w:val="000000"/>
              </w:rPr>
              <w:t>-1</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2021 Average Points Grade Difference</w:t>
            </w:r>
          </w:p>
        </w:tc>
        <w:tc>
          <w:tcPr>
            <w:tcW w:w="0" w:type="auto"/>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b/>
                <w:color w:val="000000" w:themeColor="text1"/>
              </w:rPr>
            </w:pPr>
            <w:r>
              <w:rPr>
                <w:rFonts w:ascii="Calibri" w:eastAsia="Times New Roman" w:hAnsi="Calibri" w:cs="Calibri"/>
                <w:b/>
                <w:color w:val="000000" w:themeColor="text1"/>
              </w:rPr>
              <w:t>-0.33</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2020 Average Points Grade Difference</w:t>
            </w:r>
          </w:p>
        </w:tc>
        <w:tc>
          <w:tcPr>
            <w:tcW w:w="0" w:type="auto"/>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-0.37</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0000"/>
              </w:rPr>
              <w:t>2019 Average Points Grade  Difference</w:t>
            </w:r>
          </w:p>
        </w:tc>
        <w:tc>
          <w:tcPr>
            <w:tcW w:w="0" w:type="auto"/>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b/>
                <w:color w:val="000000"/>
              </w:rPr>
            </w:pPr>
            <w:r>
              <w:rPr>
                <w:rFonts w:ascii="Calibri" w:eastAsia="Times New Roman" w:hAnsi="Calibri" w:cs="Calibri"/>
                <w:b/>
                <w:color w:val="000000"/>
              </w:rPr>
              <w:t>-0.5</w:t>
            </w:r>
          </w:p>
        </w:tc>
      </w:tr>
      <w:tr>
        <w:trPr>
          <w:trHeight w:val="300"/>
        </w:trPr>
        <w:tc>
          <w:tcPr>
            <w:tcW w:w="0" w:type="auto"/>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rPr>
            </w:pPr>
          </w:p>
        </w:tc>
      </w:tr>
      <w:tr>
        <w:trPr>
          <w:trHeight w:val="300"/>
        </w:trPr>
        <w:tc>
          <w:tcPr>
            <w:tcW w:w="0" w:type="auto"/>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rPr>
            </w:pPr>
          </w:p>
        </w:tc>
      </w:tr>
      <w:tr>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pPr>
              <w:spacing w:after="0" w:line="240" w:lineRule="auto"/>
              <w:rPr>
                <w:rFonts w:ascii="Calibri" w:eastAsia="Times New Roman" w:hAnsi="Calibri" w:cs="Calibri"/>
                <w:b/>
                <w:color w:val="000000"/>
              </w:rPr>
            </w:pPr>
            <w:r>
              <w:rPr>
                <w:rFonts w:ascii="Calibri" w:eastAsia="Times New Roman" w:hAnsi="Calibri" w:cs="Calibri"/>
                <w:b/>
                <w:color w:val="000000"/>
              </w:rPr>
              <w:t>MATHS (6 Pupils)</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On Target</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Above Target</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Below Target</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70C0"/>
              </w:rPr>
              <w:t>2022 Average Points Grade Difference</w:t>
            </w:r>
          </w:p>
        </w:tc>
        <w:tc>
          <w:tcPr>
            <w:tcW w:w="0" w:type="auto"/>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70C0"/>
              </w:rPr>
            </w:pPr>
            <w:r>
              <w:rPr>
                <w:rFonts w:ascii="Calibri" w:eastAsia="Times New Roman" w:hAnsi="Calibri" w:cs="Calibri"/>
                <w:color w:val="000000" w:themeColor="text1"/>
              </w:rPr>
              <w:t>2021 Average Points Grade Difference</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-0.33</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2020 Average Points Grade  Difference</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-0.625</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0000"/>
              </w:rPr>
              <w:t>2019 Average Points Grade  Difference</w:t>
            </w:r>
          </w:p>
        </w:tc>
        <w:tc>
          <w:tcPr>
            <w:tcW w:w="0" w:type="auto"/>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-0.75</w:t>
            </w:r>
          </w:p>
        </w:tc>
      </w:tr>
      <w:tr>
        <w:trPr>
          <w:trHeight w:val="300"/>
        </w:trPr>
        <w:tc>
          <w:tcPr>
            <w:tcW w:w="0" w:type="auto"/>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rPr>
            </w:pPr>
          </w:p>
        </w:tc>
      </w:tr>
      <w:tr>
        <w:trPr>
          <w:trHeight w:val="300"/>
        </w:trPr>
        <w:tc>
          <w:tcPr>
            <w:tcW w:w="0" w:type="auto"/>
            <w:tcBorders>
              <w:top w:val="nil"/>
              <w:left w:val="nil"/>
              <w:bottom w:val="nil"/>
              <w:right w:val="nil"/>
            </w:tcBorders>
            <w:shd w:val="clear" w:color="auto" w:fill="auto"/>
            <w:noWrap/>
            <w:vAlign w:val="bottom"/>
          </w:tcPr>
          <w:p>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tcPr>
          <w:p>
            <w:pPr>
              <w:spacing w:after="0" w:line="240" w:lineRule="auto"/>
              <w:rPr>
                <w:rFonts w:ascii="Calibri" w:eastAsia="Times New Roman" w:hAnsi="Calibri" w:cs="Calibri"/>
                <w:color w:val="000000"/>
              </w:rPr>
            </w:pPr>
          </w:p>
        </w:tc>
      </w:tr>
      <w:tr>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pPr>
              <w:spacing w:after="0" w:line="240" w:lineRule="auto"/>
              <w:rPr>
                <w:rFonts w:ascii="Calibri" w:eastAsia="Times New Roman" w:hAnsi="Calibri" w:cs="Calibri"/>
                <w:b/>
                <w:color w:val="000000"/>
              </w:rPr>
            </w:pPr>
            <w:r>
              <w:rPr>
                <w:rFonts w:ascii="Calibri" w:eastAsia="Times New Roman" w:hAnsi="Calibri" w:cs="Calibri"/>
                <w:b/>
                <w:color w:val="000000"/>
              </w:rPr>
              <w:t>SCIENCE (3 Pupils)</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On Target</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33%</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Above Target</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Below Target</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67%</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70C0"/>
              </w:rPr>
              <w:t>2022 Average Points Grade Difference</w:t>
            </w:r>
          </w:p>
        </w:tc>
        <w:tc>
          <w:tcPr>
            <w:tcW w:w="0" w:type="auto"/>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70C0"/>
              </w:rPr>
            </w:pPr>
            <w:r>
              <w:rPr>
                <w:rFonts w:ascii="Calibri" w:eastAsia="Times New Roman" w:hAnsi="Calibri" w:cs="Calibri"/>
                <w:color w:val="000000" w:themeColor="text1"/>
              </w:rPr>
              <w:t>2021 Average Points Grade Difference</w:t>
            </w:r>
          </w:p>
        </w:tc>
        <w:tc>
          <w:tcPr>
            <w:tcW w:w="0" w:type="auto"/>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b/>
                <w:color w:val="000000"/>
              </w:rPr>
            </w:pPr>
            <w:r>
              <w:rPr>
                <w:rFonts w:ascii="Calibri" w:eastAsia="Times New Roman" w:hAnsi="Calibri" w:cs="Calibri"/>
                <w:b/>
                <w:color w:val="000000"/>
              </w:rPr>
              <w:t>0</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0000"/>
              </w:rPr>
              <w:t>2020 Average Points Grade  Difference</w:t>
            </w:r>
          </w:p>
        </w:tc>
        <w:tc>
          <w:tcPr>
            <w:tcW w:w="0" w:type="auto"/>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-0.7</w:t>
            </w:r>
          </w:p>
        </w:tc>
      </w:tr>
      <w:tr>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0000"/>
              </w:rPr>
              <w:t>2019 Average Points Grade  Difference</w:t>
            </w:r>
          </w:p>
        </w:tc>
        <w:tc>
          <w:tcPr>
            <w:tcW w:w="0" w:type="auto"/>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r>
              <w:rPr>
                <w:rFonts w:ascii="Calibri" w:eastAsia="Times New Roman" w:hAnsi="Calibri" w:cs="Calibri"/>
                <w:color w:val="000000"/>
              </w:rPr>
              <w:t>0.5</w:t>
            </w:r>
          </w:p>
        </w:tc>
      </w:tr>
      <w:tr>
        <w:trPr>
          <w:trHeight w:val="300"/>
        </w:trPr>
        <w:tc>
          <w:tcPr>
            <w:tcW w:w="0" w:type="auto"/>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rPr>
            </w:pPr>
          </w:p>
        </w:tc>
      </w:tr>
      <w:tr>
        <w:trPr>
          <w:trHeight w:val="300"/>
        </w:trPr>
        <w:tc>
          <w:tcPr>
            <w:tcW w:w="496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pPr>
              <w:spacing w:after="0" w:line="240" w:lineRule="auto"/>
              <w:rPr>
                <w:rFonts w:ascii="Calibri" w:eastAsia="Times New Roman" w:hAnsi="Calibri" w:cs="Calibri"/>
                <w:b/>
                <w:color w:val="000000"/>
              </w:rPr>
            </w:pPr>
            <w:r>
              <w:rPr>
                <w:rFonts w:ascii="Calibri" w:eastAsia="Times New Roman" w:hAnsi="Calibri" w:cs="Calibri"/>
                <w:b/>
                <w:color w:val="000000"/>
              </w:rPr>
              <w:t>Food Technology  (1 Pupil)</w:t>
            </w:r>
          </w:p>
        </w:tc>
      </w:tr>
      <w:tr>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On Target</w:t>
            </w:r>
          </w:p>
        </w:tc>
        <w:tc>
          <w:tcPr>
            <w:tcW w:w="128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Above Target</w:t>
            </w:r>
          </w:p>
        </w:tc>
        <w:tc>
          <w:tcPr>
            <w:tcW w:w="128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Below Target</w:t>
            </w:r>
          </w:p>
        </w:tc>
        <w:tc>
          <w:tcPr>
            <w:tcW w:w="128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70C0"/>
              </w:rPr>
            </w:pPr>
            <w:r>
              <w:rPr>
                <w:rFonts w:ascii="Calibri" w:eastAsia="Times New Roman" w:hAnsi="Calibri" w:cs="Calibri"/>
                <w:color w:val="0070C0"/>
              </w:rPr>
              <w:t>2022 Average Points Grade Difference</w:t>
            </w:r>
          </w:p>
        </w:tc>
        <w:tc>
          <w:tcPr>
            <w:tcW w:w="128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b/>
                <w:color w:val="000000"/>
              </w:rPr>
            </w:pPr>
            <w:r>
              <w:rPr>
                <w:rFonts w:ascii="Calibri" w:eastAsia="Times New Roman" w:hAnsi="Calibri" w:cs="Calibri"/>
                <w:b/>
                <w:color w:val="000000"/>
              </w:rPr>
              <w:t>0</w:t>
            </w:r>
          </w:p>
        </w:tc>
      </w:tr>
      <w:tr>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70C0"/>
              </w:rPr>
            </w:pPr>
            <w:r>
              <w:rPr>
                <w:rFonts w:ascii="Calibri" w:eastAsia="Times New Roman" w:hAnsi="Calibri" w:cs="Calibri"/>
                <w:color w:val="000000" w:themeColor="text1"/>
              </w:rPr>
              <w:lastRenderedPageBreak/>
              <w:t>2021 Average Points Grade Difference</w:t>
            </w:r>
          </w:p>
        </w:tc>
        <w:tc>
          <w:tcPr>
            <w:tcW w:w="128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b/>
                <w:color w:val="000000"/>
              </w:rPr>
            </w:pPr>
            <w:r>
              <w:rPr>
                <w:rFonts w:ascii="Calibri" w:eastAsia="Times New Roman" w:hAnsi="Calibri" w:cs="Calibri"/>
                <w:b/>
                <w:color w:val="000000"/>
              </w:rPr>
              <w:t>-0.5</w:t>
            </w:r>
          </w:p>
        </w:tc>
      </w:tr>
      <w:tr>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r>
              <w:rPr>
                <w:rFonts w:ascii="Calibri" w:eastAsia="Times New Roman" w:hAnsi="Calibri" w:cs="Calibri"/>
                <w:color w:val="000000"/>
              </w:rPr>
              <w:t>2020 Average Points Grade  Difference</w:t>
            </w:r>
          </w:p>
        </w:tc>
        <w:tc>
          <w:tcPr>
            <w:tcW w:w="128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-0.3</w:t>
            </w:r>
          </w:p>
        </w:tc>
      </w:tr>
      <w:tr>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0000"/>
              </w:rPr>
              <w:t>2019 Average Points Grade  Difference</w:t>
            </w:r>
          </w:p>
        </w:tc>
        <w:tc>
          <w:tcPr>
            <w:tcW w:w="128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pPr>
        <w:rPr>
          <w:b/>
          <w:u w:val="single"/>
        </w:rPr>
      </w:pPr>
    </w:p>
    <w:tbl>
      <w:tblPr>
        <w:tblW w:w="4977" w:type="dxa"/>
        <w:tblInd w:w="93" w:type="dxa"/>
        <w:tblLook w:val="04A0" w:firstRow="1" w:lastRow="0" w:firstColumn="1" w:lastColumn="0" w:noHBand="0" w:noVBand="1"/>
      </w:tblPr>
      <w:tblGrid>
        <w:gridCol w:w="3701"/>
        <w:gridCol w:w="1276"/>
      </w:tblGrid>
      <w:tr>
        <w:trPr>
          <w:trHeight w:val="327"/>
        </w:trPr>
        <w:tc>
          <w:tcPr>
            <w:tcW w:w="4977" w:type="dxa"/>
            <w:gridSpan w:val="2"/>
            <w:tcBorders>
              <w:top w:val="single" w:sz="8" w:space="0" w:color="auto"/>
              <w:left w:val="single" w:sz="8" w:space="0" w:color="auto"/>
              <w:bottom w:val="single" w:sz="8" w:space="0" w:color="auto"/>
              <w:right w:val="single" w:sz="8" w:space="0" w:color="000000"/>
            </w:tcBorders>
            <w:shd w:val="clear" w:color="000000" w:fill="DBE5F1"/>
            <w:noWrap/>
            <w:vAlign w:val="center"/>
            <w:hideMark/>
          </w:tcPr>
          <w:p>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ICT (4 Pupils)</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On Target</w:t>
            </w:r>
          </w:p>
        </w:tc>
        <w:tc>
          <w:tcPr>
            <w:tcW w:w="127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Above Target</w:t>
            </w:r>
          </w:p>
        </w:tc>
        <w:tc>
          <w:tcPr>
            <w:tcW w:w="127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Below Target</w:t>
            </w:r>
          </w:p>
        </w:tc>
        <w:tc>
          <w:tcPr>
            <w:tcW w:w="127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tcPr>
          <w:p>
            <w:pPr>
              <w:spacing w:after="0" w:line="240" w:lineRule="auto"/>
              <w:rPr>
                <w:rFonts w:ascii="Calibri" w:eastAsia="Times New Roman" w:hAnsi="Calibri" w:cs="Calibri"/>
                <w:color w:val="0070C0"/>
              </w:rPr>
            </w:pPr>
            <w:r>
              <w:rPr>
                <w:rFonts w:ascii="Calibri" w:eastAsia="Times New Roman" w:hAnsi="Calibri" w:cs="Calibri"/>
                <w:color w:val="0070C0"/>
              </w:rPr>
              <w:t>2022 Average Points Grade Difference</w:t>
            </w:r>
          </w:p>
        </w:tc>
        <w:tc>
          <w:tcPr>
            <w:tcW w:w="1276" w:type="dxa"/>
            <w:tcBorders>
              <w:top w:val="nil"/>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-0.66</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70C0"/>
                <w:lang w:eastAsia="en-GB"/>
              </w:rPr>
            </w:pPr>
            <w:r>
              <w:rPr>
                <w:rFonts w:ascii="Calibri" w:eastAsia="Times New Roman" w:hAnsi="Calibri" w:cs="Calibri"/>
                <w:color w:val="0070C0"/>
              </w:rPr>
              <w:t>2021 Average Points Grade Difference</w:t>
            </w:r>
          </w:p>
        </w:tc>
        <w:tc>
          <w:tcPr>
            <w:tcW w:w="127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0</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0000"/>
              </w:rPr>
              <w:t>2020 Average Points Grade  Difference</w:t>
            </w:r>
          </w:p>
        </w:tc>
        <w:tc>
          <w:tcPr>
            <w:tcW w:w="1276" w:type="dxa"/>
            <w:tcBorders>
              <w:top w:val="nil"/>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-0.6</w:t>
            </w:r>
          </w:p>
        </w:tc>
      </w:tr>
      <w:tr>
        <w:trPr>
          <w:trHeight w:val="327"/>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0000"/>
              </w:rPr>
              <w:t>2019 Average Points Grade  Difference</w:t>
            </w:r>
          </w:p>
        </w:tc>
        <w:tc>
          <w:tcPr>
            <w:tcW w:w="1276" w:type="dxa"/>
            <w:tcBorders>
              <w:top w:val="single" w:sz="8" w:space="0" w:color="auto"/>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r>
    </w:tbl>
    <w:p/>
    <w:tbl>
      <w:tblPr>
        <w:tblW w:w="4977" w:type="dxa"/>
        <w:tblInd w:w="93" w:type="dxa"/>
        <w:tblLook w:val="04A0" w:firstRow="1" w:lastRow="0" w:firstColumn="1" w:lastColumn="0" w:noHBand="0" w:noVBand="1"/>
      </w:tblPr>
      <w:tblGrid>
        <w:gridCol w:w="3701"/>
        <w:gridCol w:w="1276"/>
      </w:tblGrid>
      <w:tr>
        <w:trPr>
          <w:trHeight w:val="327"/>
        </w:trPr>
        <w:tc>
          <w:tcPr>
            <w:tcW w:w="4977" w:type="dxa"/>
            <w:gridSpan w:val="2"/>
            <w:tcBorders>
              <w:top w:val="single" w:sz="8" w:space="0" w:color="auto"/>
              <w:left w:val="single" w:sz="8" w:space="0" w:color="auto"/>
              <w:bottom w:val="single" w:sz="8" w:space="0" w:color="auto"/>
              <w:right w:val="single" w:sz="8" w:space="0" w:color="000000"/>
            </w:tcBorders>
            <w:shd w:val="clear" w:color="000000" w:fill="DBE5F1"/>
            <w:noWrap/>
            <w:vAlign w:val="center"/>
            <w:hideMark/>
          </w:tcPr>
          <w:p>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Art (2 Pupils)</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On Target</w:t>
            </w:r>
          </w:p>
        </w:tc>
        <w:tc>
          <w:tcPr>
            <w:tcW w:w="127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Above Target</w:t>
            </w:r>
          </w:p>
        </w:tc>
        <w:tc>
          <w:tcPr>
            <w:tcW w:w="127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Below Target</w:t>
            </w:r>
          </w:p>
        </w:tc>
        <w:tc>
          <w:tcPr>
            <w:tcW w:w="127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tcPr>
          <w:p>
            <w:pPr>
              <w:spacing w:after="0" w:line="240" w:lineRule="auto"/>
              <w:rPr>
                <w:rFonts w:ascii="Calibri" w:eastAsia="Times New Roman" w:hAnsi="Calibri" w:cs="Calibri"/>
                <w:color w:val="0070C0"/>
              </w:rPr>
            </w:pPr>
            <w:r>
              <w:rPr>
                <w:rFonts w:ascii="Calibri" w:eastAsia="Times New Roman" w:hAnsi="Calibri" w:cs="Calibri"/>
                <w:color w:val="0070C0"/>
              </w:rPr>
              <w:t>2022 Average Points Grade Difference</w:t>
            </w:r>
          </w:p>
        </w:tc>
        <w:tc>
          <w:tcPr>
            <w:tcW w:w="1276" w:type="dxa"/>
            <w:tcBorders>
              <w:top w:val="nil"/>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70C0"/>
                <w:lang w:eastAsia="en-GB"/>
              </w:rPr>
            </w:pPr>
            <w:r>
              <w:rPr>
                <w:rFonts w:ascii="Calibri" w:eastAsia="Times New Roman" w:hAnsi="Calibri" w:cs="Calibri"/>
                <w:color w:val="0070C0"/>
              </w:rPr>
              <w:t>2021 Average Points Grade Difference</w:t>
            </w:r>
          </w:p>
        </w:tc>
        <w:tc>
          <w:tcPr>
            <w:tcW w:w="1276" w:type="dxa"/>
            <w:tcBorders>
              <w:top w:val="nil"/>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0000"/>
              </w:rPr>
              <w:t>2020 Average Points Grade  Difference</w:t>
            </w:r>
          </w:p>
        </w:tc>
        <w:tc>
          <w:tcPr>
            <w:tcW w:w="1276" w:type="dxa"/>
            <w:tcBorders>
              <w:top w:val="nil"/>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r>
      <w:tr>
        <w:trPr>
          <w:trHeight w:val="327"/>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0000"/>
              </w:rPr>
              <w:t>2019 Average Points Grade  Difference</w:t>
            </w:r>
          </w:p>
        </w:tc>
        <w:tc>
          <w:tcPr>
            <w:tcW w:w="1276" w:type="dxa"/>
            <w:tcBorders>
              <w:top w:val="single" w:sz="8" w:space="0" w:color="auto"/>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bl>
    <w:p/>
    <w:tbl>
      <w:tblPr>
        <w:tblW w:w="4977" w:type="dxa"/>
        <w:tblInd w:w="93" w:type="dxa"/>
        <w:tblLook w:val="04A0" w:firstRow="1" w:lastRow="0" w:firstColumn="1" w:lastColumn="0" w:noHBand="0" w:noVBand="1"/>
      </w:tblPr>
      <w:tblGrid>
        <w:gridCol w:w="3701"/>
        <w:gridCol w:w="1276"/>
      </w:tblGrid>
      <w:tr>
        <w:trPr>
          <w:trHeight w:val="327"/>
        </w:trPr>
        <w:tc>
          <w:tcPr>
            <w:tcW w:w="4977" w:type="dxa"/>
            <w:gridSpan w:val="2"/>
            <w:tcBorders>
              <w:top w:val="single" w:sz="8" w:space="0" w:color="auto"/>
              <w:left w:val="single" w:sz="8" w:space="0" w:color="auto"/>
              <w:bottom w:val="single" w:sz="8" w:space="0" w:color="auto"/>
              <w:right w:val="single" w:sz="8" w:space="0" w:color="000000"/>
            </w:tcBorders>
            <w:shd w:val="clear" w:color="000000" w:fill="DBE5F1"/>
            <w:noWrap/>
            <w:vAlign w:val="center"/>
            <w:hideMark/>
          </w:tcPr>
          <w:p>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MFL (2 Pupils)</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On Target</w:t>
            </w:r>
          </w:p>
        </w:tc>
        <w:tc>
          <w:tcPr>
            <w:tcW w:w="127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Above Target</w:t>
            </w:r>
          </w:p>
        </w:tc>
        <w:tc>
          <w:tcPr>
            <w:tcW w:w="127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Below Target</w:t>
            </w:r>
          </w:p>
        </w:tc>
        <w:tc>
          <w:tcPr>
            <w:tcW w:w="127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tcPr>
          <w:p>
            <w:pPr>
              <w:spacing w:after="0" w:line="240" w:lineRule="auto"/>
              <w:rPr>
                <w:rFonts w:ascii="Calibri" w:eastAsia="Times New Roman" w:hAnsi="Calibri" w:cs="Calibri"/>
                <w:color w:val="0070C0"/>
              </w:rPr>
            </w:pPr>
            <w:r>
              <w:rPr>
                <w:rFonts w:ascii="Calibri" w:eastAsia="Times New Roman" w:hAnsi="Calibri" w:cs="Calibri"/>
                <w:color w:val="0070C0"/>
              </w:rPr>
              <w:t>2022 Average Points Grade Difference</w:t>
            </w:r>
          </w:p>
        </w:tc>
        <w:tc>
          <w:tcPr>
            <w:tcW w:w="1276" w:type="dxa"/>
            <w:tcBorders>
              <w:top w:val="nil"/>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-0.5</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70C0"/>
                <w:lang w:eastAsia="en-GB"/>
              </w:rPr>
            </w:pPr>
            <w:r>
              <w:rPr>
                <w:rFonts w:ascii="Calibri" w:eastAsia="Times New Roman" w:hAnsi="Calibri" w:cs="Calibri"/>
                <w:color w:val="0070C0"/>
              </w:rPr>
              <w:t>2021 Average Points Grade Difference</w:t>
            </w:r>
          </w:p>
        </w:tc>
        <w:tc>
          <w:tcPr>
            <w:tcW w:w="1276" w:type="dxa"/>
            <w:tcBorders>
              <w:top w:val="nil"/>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r>
      <w:tr>
        <w:trPr>
          <w:trHeight w:val="327"/>
        </w:trPr>
        <w:tc>
          <w:tcPr>
            <w:tcW w:w="3701" w:type="dxa"/>
            <w:tcBorders>
              <w:top w:val="nil"/>
              <w:left w:val="single" w:sz="8" w:space="0" w:color="auto"/>
              <w:bottom w:val="single" w:sz="8" w:space="0" w:color="auto"/>
              <w:right w:val="single" w:sz="8" w:space="0" w:color="auto"/>
            </w:tcBorders>
            <w:shd w:val="clear" w:color="auto" w:fill="auto"/>
            <w:noWrap/>
            <w:vAlign w:val="bottom"/>
          </w:tcPr>
          <w:p>
            <w:pPr>
              <w:spacing w:after="0" w:line="240" w:lineRule="auto"/>
              <w:rPr>
                <w:rFonts w:ascii="Calibri" w:eastAsia="Times New Roman" w:hAnsi="Calibri" w:cs="Calibri"/>
                <w:color w:val="000000"/>
              </w:rPr>
            </w:pPr>
            <w:r>
              <w:rPr>
                <w:rFonts w:ascii="Calibri" w:eastAsia="Times New Roman" w:hAnsi="Calibri" w:cs="Calibri"/>
                <w:color w:val="000000"/>
              </w:rPr>
              <w:t>2020 Average Points Grade  Difference</w:t>
            </w:r>
          </w:p>
        </w:tc>
        <w:tc>
          <w:tcPr>
            <w:tcW w:w="1276" w:type="dxa"/>
            <w:tcBorders>
              <w:top w:val="nil"/>
              <w:left w:val="nil"/>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r>
    </w:tbl>
    <w:p/>
    <w:p/>
    <w:p/>
    <w:p>
      <w:pPr>
        <w:pStyle w:val="Heading1"/>
        <w:rPr>
          <w:rFonts w:asciiTheme="minorHAnsi" w:hAnsiTheme="minorHAnsi" w:cstheme="minorHAnsi"/>
        </w:rPr>
      </w:pPr>
      <w:bookmarkStart w:id="25" w:name="_Toc115268632"/>
      <w:r>
        <w:rPr>
          <w:rFonts w:asciiTheme="minorHAnsi" w:hAnsiTheme="minorHAnsi" w:cstheme="minorHAnsi"/>
        </w:rPr>
        <w:lastRenderedPageBreak/>
        <w:t>Figure 1</w:t>
      </w:r>
      <w:bookmarkEnd w:id="25"/>
    </w:p>
    <w:p>
      <w:r>
        <w:rPr>
          <w:noProof/>
          <w:lang w:eastAsia="en-GB"/>
        </w:rPr>
        <w:drawing>
          <wp:inline distT="0" distB="0" distL="0" distR="0">
            <wp:extent cx="5924550" cy="37433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
    <w:p/>
    <w:p/>
    <w:p/>
    <w:p/>
    <w:p/>
    <w:p/>
    <w:p/>
    <w:p/>
    <w:p/>
    <w:p/>
    <w:p/>
    <w:p/>
    <w:p/>
    <w:p>
      <w:pPr>
        <w:pStyle w:val="Heading2"/>
        <w:rPr>
          <w:rFonts w:asciiTheme="minorHAnsi" w:hAnsiTheme="minorHAnsi" w:cstheme="minorHAnsi"/>
        </w:rPr>
      </w:pPr>
      <w:bookmarkStart w:id="26" w:name="_Toc115268633"/>
      <w:r>
        <w:rPr>
          <w:rFonts w:asciiTheme="minorHAnsi" w:hAnsiTheme="minorHAnsi" w:cstheme="minorHAnsi"/>
        </w:rPr>
        <w:lastRenderedPageBreak/>
        <w:t>Overall Summary</w:t>
      </w:r>
      <w:bookmarkEnd w:id="26"/>
    </w:p>
    <w:p>
      <w:pPr>
        <w:rPr>
          <w:color w:val="000000" w:themeColor="text1"/>
        </w:rPr>
      </w:pPr>
      <w:r>
        <w:rPr>
          <w:color w:val="000000" w:themeColor="text1"/>
        </w:rPr>
        <w:t xml:space="preserve">In the majority of classes progress was good for students and broadly in line with their capabilities and expectations, although slightly down on the previous 2 years. Despite the challenges of </w:t>
      </w:r>
      <w:proofErr w:type="spellStart"/>
      <w:r>
        <w:rPr>
          <w:color w:val="000000" w:themeColor="text1"/>
        </w:rPr>
        <w:t>Covid</w:t>
      </w:r>
      <w:proofErr w:type="spellEnd"/>
      <w:r>
        <w:rPr>
          <w:color w:val="000000" w:themeColor="text1"/>
        </w:rPr>
        <w:t xml:space="preserve"> performance in Key Stage 2 remained strong and comparable to the previous 2 years across all subjects, outcomes in  SAT tests although below the National average were in line or greater than the expected outcomes for most of the pupils and in line with their capabilities.</w:t>
      </w:r>
    </w:p>
    <w:p>
      <w:pPr>
        <w:rPr>
          <w:color w:val="000000" w:themeColor="text1"/>
        </w:rPr>
      </w:pPr>
      <w:r>
        <w:rPr>
          <w:color w:val="000000" w:themeColor="text1"/>
        </w:rPr>
        <w:t xml:space="preserve">Summative assessment outcomes at Key Stage 4 for most pupils were good, with most pupils achieving expected outcomes for the examinations for which they were entered and achieving external accreditation. Attainment 8 average scores for a setting of our type remained strong and actually improved significantly on the previous year’s Tag Assessed grades. In comparison to similar SEMH settings based on the last set of data available in 2019, our 2022 scores should see us above the average taken from a sample of other SEMH settings.  Further work will be done to analyse this later in the year once data becomes available for KS2 and KS4. Students have benefitted from the introduction of higher quality counting qualifications over the previous 2 years after a review of outcomes. All students in Year 11 successfully gained a place and enrolled at a Post provision. Overall the majority of pupils in KS4 made progress in line with expectations, and progress scores across subjects </w:t>
      </w:r>
      <w:proofErr w:type="gramStart"/>
      <w:r>
        <w:rPr>
          <w:color w:val="000000" w:themeColor="text1"/>
        </w:rPr>
        <w:t>was</w:t>
      </w:r>
      <w:proofErr w:type="gramEnd"/>
      <w:r>
        <w:rPr>
          <w:color w:val="000000" w:themeColor="text1"/>
        </w:rPr>
        <w:t xml:space="preserve"> comparable to the previous 2 years.</w:t>
      </w:r>
    </w:p>
    <w:p>
      <w:pPr>
        <w:rPr>
          <w:color w:val="000000" w:themeColor="text1"/>
        </w:rPr>
      </w:pPr>
      <w:r>
        <w:rPr>
          <w:color w:val="000000" w:themeColor="text1"/>
        </w:rPr>
        <w:t xml:space="preserve">KS3 progress was significantly down on the previous year due to a number of factors previously contained in this report (see page), consequently this has affected whole school scores and accounted for the overall downturn in progress levels. Several measures have been implemented to address issues with 2 of the classes in the KS3 </w:t>
      </w:r>
      <w:proofErr w:type="gramStart"/>
      <w:r>
        <w:rPr>
          <w:color w:val="000000" w:themeColor="text1"/>
        </w:rPr>
        <w:t>area,</w:t>
      </w:r>
      <w:proofErr w:type="gramEnd"/>
      <w:r>
        <w:rPr>
          <w:color w:val="000000" w:themeColor="text1"/>
        </w:rPr>
        <w:t xml:space="preserve"> a newly appointed KS3 lead will take point on the implementation of some of these to ensure consistency and engagement.</w:t>
      </w:r>
    </w:p>
    <w:p>
      <w:pPr>
        <w:rPr>
          <w:b/>
          <w:color w:val="000000" w:themeColor="text1"/>
          <w:sz w:val="24"/>
          <w:szCs w:val="24"/>
        </w:rPr>
      </w:pPr>
    </w:p>
    <w:p>
      <w:pPr>
        <w:rPr>
          <w:b/>
          <w:color w:val="000000" w:themeColor="text1"/>
          <w:sz w:val="24"/>
          <w:szCs w:val="24"/>
        </w:rPr>
      </w:pPr>
    </w:p>
    <w:p>
      <w:pPr>
        <w:rPr>
          <w:b/>
          <w:color w:val="000000" w:themeColor="text1"/>
          <w:sz w:val="24"/>
          <w:szCs w:val="24"/>
        </w:rPr>
      </w:pPr>
    </w:p>
    <w:p>
      <w:pPr>
        <w:rPr>
          <w:b/>
          <w:color w:val="000000" w:themeColor="text1"/>
          <w:sz w:val="24"/>
          <w:szCs w:val="24"/>
        </w:rPr>
      </w:pPr>
    </w:p>
    <w:p>
      <w:pPr>
        <w:rPr>
          <w:b/>
          <w:color w:val="000000" w:themeColor="text1"/>
          <w:sz w:val="24"/>
          <w:szCs w:val="24"/>
        </w:rPr>
      </w:pPr>
    </w:p>
    <w:p>
      <w:pPr>
        <w:rPr>
          <w:b/>
          <w:color w:val="000000" w:themeColor="text1"/>
          <w:sz w:val="24"/>
          <w:szCs w:val="24"/>
        </w:rPr>
      </w:pPr>
    </w:p>
    <w:p>
      <w:pPr>
        <w:rPr>
          <w:b/>
          <w:color w:val="000000" w:themeColor="text1"/>
          <w:sz w:val="24"/>
          <w:szCs w:val="24"/>
        </w:rPr>
      </w:pPr>
    </w:p>
    <w:p>
      <w:pPr>
        <w:rPr>
          <w:b/>
          <w:color w:val="000000" w:themeColor="text1"/>
          <w:sz w:val="24"/>
          <w:szCs w:val="24"/>
        </w:rPr>
      </w:pPr>
    </w:p>
    <w:p>
      <w:pPr>
        <w:rPr>
          <w:b/>
          <w:color w:val="000000" w:themeColor="text1"/>
          <w:sz w:val="24"/>
          <w:szCs w:val="24"/>
        </w:rPr>
      </w:pPr>
    </w:p>
    <w:p>
      <w:pPr>
        <w:rPr>
          <w:b/>
          <w:color w:val="000000" w:themeColor="text1"/>
          <w:sz w:val="24"/>
          <w:szCs w:val="24"/>
        </w:rPr>
      </w:pPr>
    </w:p>
    <w:p>
      <w:pPr>
        <w:rPr>
          <w:b/>
          <w:color w:val="000000" w:themeColor="text1"/>
          <w:sz w:val="24"/>
          <w:szCs w:val="24"/>
        </w:rPr>
      </w:pPr>
    </w:p>
    <w:p>
      <w:pPr>
        <w:pStyle w:val="Heading2"/>
        <w:rPr>
          <w:rFonts w:asciiTheme="minorHAnsi" w:hAnsiTheme="minorHAnsi" w:cstheme="minorHAnsi"/>
        </w:rPr>
      </w:pPr>
      <w:bookmarkStart w:id="27" w:name="_Toc115268634"/>
      <w:r>
        <w:rPr>
          <w:rFonts w:asciiTheme="minorHAnsi" w:hAnsiTheme="minorHAnsi" w:cstheme="minorHAnsi"/>
        </w:rPr>
        <w:lastRenderedPageBreak/>
        <w:t>Areas for development 2022/23</w:t>
      </w:r>
      <w:bookmarkEnd w:id="27"/>
    </w:p>
    <w:p>
      <w:pPr>
        <w:rPr>
          <w:i/>
          <w:color w:val="000000" w:themeColor="text1"/>
        </w:rPr>
      </w:pPr>
      <w:r>
        <w:rPr>
          <w:i/>
          <w:color w:val="000000" w:themeColor="text1"/>
        </w:rPr>
        <w:t xml:space="preserve">The following initiatives or measures to be embedded in 2022/23 to aid </w:t>
      </w:r>
      <w:proofErr w:type="gramStart"/>
      <w:r>
        <w:rPr>
          <w:i/>
          <w:color w:val="000000" w:themeColor="text1"/>
        </w:rPr>
        <w:t>engagement,</w:t>
      </w:r>
      <w:proofErr w:type="gramEnd"/>
      <w:r>
        <w:rPr>
          <w:i/>
          <w:color w:val="000000" w:themeColor="text1"/>
        </w:rPr>
        <w:t xml:space="preserve"> progress and remove barriers to learning </w:t>
      </w:r>
    </w:p>
    <w:p>
      <w:r>
        <w:t>Ensure all pupils across all key stages have provision mapping which allows them to access the therapeutic and academic support they need to regulate their behaviour and achieve positive academic</w:t>
      </w:r>
      <w:proofErr w:type="gramStart"/>
      <w:r>
        <w:t>,  pastoral</w:t>
      </w:r>
      <w:proofErr w:type="gramEnd"/>
      <w:r>
        <w:t xml:space="preserve"> and personal outcomes.</w:t>
      </w:r>
    </w:p>
    <w:p>
      <w:r>
        <w:t>Introduction of accelerated reader to help improve literacy levels</w:t>
      </w:r>
    </w:p>
    <w:p>
      <w:r>
        <w:t>Adaptation of new Key Stage 4 curriculum to provide different pathways and make the curriculum more accessible to the increasingly diverse student population</w:t>
      </w:r>
    </w:p>
    <w:p>
      <w:r>
        <w:t>New high quality counting qualification for PE Sport Introduced that will count towards attainment 8 outcomes</w:t>
      </w:r>
    </w:p>
    <w:p>
      <w:r>
        <w:t>Full cycle of data in Target Tracker used to address gaps in learning and to be rolled out across none core subjects in KS2 and early KS3 nurture class.</w:t>
      </w:r>
    </w:p>
    <w:p>
      <w:r>
        <w:t xml:space="preserve">Re-structure of KS3 class groups </w:t>
      </w:r>
    </w:p>
    <w:p>
      <w:r>
        <w:t>Termly progress reports to all subject leaders to provide analysis and ways forward</w:t>
      </w:r>
    </w:p>
    <w:p>
      <w:r>
        <w:t>Key Stage Leads appointed in each key Stage to assist with the management and learning outcomes for pupils in their respective key stages</w:t>
      </w:r>
    </w:p>
    <w:p>
      <w:r>
        <w:t xml:space="preserve">Classroom layouts redesigned and with uniformity across school to meet recommendations from OTP for learning and regulation </w:t>
      </w:r>
    </w:p>
    <w:p>
      <w:r>
        <w:t>College day placement pathways introduced for Year 10 and Y11 students to gain valuable college experience and vocational skills for Post 16</w:t>
      </w:r>
    </w:p>
    <w:p>
      <w:r>
        <w:t>Introduction of PASS attitudinal learning assessment to inform berries to learning holistically and for individuals</w:t>
      </w:r>
    </w:p>
    <w:p>
      <w:r>
        <w:t>New qualifications in Art introduced to offer a higher quality pathway</w:t>
      </w:r>
    </w:p>
    <w:p>
      <w:r>
        <w:t>Zones of regulation used in all class areas to help regulate pupils and prepare them for engagement in learning</w:t>
      </w:r>
    </w:p>
    <w:p>
      <w:r>
        <w:t>Music Tutor to prepare selected students for performance grading</w:t>
      </w:r>
    </w:p>
    <w:p>
      <w:r>
        <w:t>Full time SALT practitioner introduced to work with pupils experiencing speech and language difficulties to form a barrier to learning</w:t>
      </w:r>
    </w:p>
    <w:p>
      <w:pPr>
        <w:rPr>
          <w:b/>
          <w:color w:val="000000" w:themeColor="text1"/>
        </w:rPr>
      </w:pPr>
    </w:p>
    <w:sectPr>
      <w:pgSz w:w="11906" w:h="16838"/>
      <w:pgMar w:top="1440" w:right="14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2836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30526"/>
      <w:docPartObj>
        <w:docPartGallery w:val="Watermarks"/>
        <w:docPartUnique/>
      </w:docPartObj>
    </w:sdtPr>
    <w:sdtContent>
      <w:p>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6753">
      <w:bodyDiv w:val="1"/>
      <w:marLeft w:val="0"/>
      <w:marRight w:val="0"/>
      <w:marTop w:val="0"/>
      <w:marBottom w:val="0"/>
      <w:divBdr>
        <w:top w:val="none" w:sz="0" w:space="0" w:color="auto"/>
        <w:left w:val="none" w:sz="0" w:space="0" w:color="auto"/>
        <w:bottom w:val="none" w:sz="0" w:space="0" w:color="auto"/>
        <w:right w:val="none" w:sz="0" w:space="0" w:color="auto"/>
      </w:divBdr>
    </w:div>
    <w:div w:id="238487872">
      <w:bodyDiv w:val="1"/>
      <w:marLeft w:val="0"/>
      <w:marRight w:val="0"/>
      <w:marTop w:val="0"/>
      <w:marBottom w:val="0"/>
      <w:divBdr>
        <w:top w:val="none" w:sz="0" w:space="0" w:color="auto"/>
        <w:left w:val="none" w:sz="0" w:space="0" w:color="auto"/>
        <w:bottom w:val="none" w:sz="0" w:space="0" w:color="auto"/>
        <w:right w:val="none" w:sz="0" w:space="0" w:color="auto"/>
      </w:divBdr>
    </w:div>
    <w:div w:id="15592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SCHOOLSERVER\STAFF%20WORK\Whole%20school%20data%20progress\Analysis\Year%2011%2021-22%20-%20Actual%20vs%20predic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Value Added - CAT4 Scores V Actual Summative Grades Year 2021 in Subjects Entered</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Data!$G$6:$G$16</c:f>
              <c:strCache>
                <c:ptCount val="11"/>
                <c:pt idx="0">
                  <c:v>Pupil A</c:v>
                </c:pt>
                <c:pt idx="1">
                  <c:v>Pupil B</c:v>
                </c:pt>
                <c:pt idx="2">
                  <c:v>Pupil C</c:v>
                </c:pt>
                <c:pt idx="3">
                  <c:v>Pupil D</c:v>
                </c:pt>
                <c:pt idx="4">
                  <c:v>Pupil E</c:v>
                </c:pt>
                <c:pt idx="5">
                  <c:v>Pupil F</c:v>
                </c:pt>
                <c:pt idx="6">
                  <c:v>AVERAGE 2022</c:v>
                </c:pt>
                <c:pt idx="7">
                  <c:v>AVERAGE 2021</c:v>
                </c:pt>
                <c:pt idx="8">
                  <c:v>AVERAGE 2020</c:v>
                </c:pt>
                <c:pt idx="9">
                  <c:v>AVERAGE 2019</c:v>
                </c:pt>
                <c:pt idx="10">
                  <c:v>AVERAGE 2018</c:v>
                </c:pt>
              </c:strCache>
            </c:strRef>
          </c:cat>
          <c:val>
            <c:numRef>
              <c:f>Data!$H$6:$H$16</c:f>
              <c:numCache>
                <c:formatCode>General</c:formatCode>
                <c:ptCount val="11"/>
              </c:numCache>
            </c:numRef>
          </c:val>
        </c:ser>
        <c:ser>
          <c:idx val="1"/>
          <c:order val="1"/>
          <c:invertIfNegative val="0"/>
          <c:dPt>
            <c:idx val="8"/>
            <c:invertIfNegative val="0"/>
            <c:bubble3D val="0"/>
            <c:spPr>
              <a:solidFill>
                <a:schemeClr val="accent1"/>
              </a:solidFill>
            </c:spPr>
          </c:dPt>
          <c:dPt>
            <c:idx val="9"/>
            <c:invertIfNegative val="0"/>
            <c:bubble3D val="0"/>
            <c:spPr>
              <a:solidFill>
                <a:schemeClr val="accent4">
                  <a:lumMod val="75000"/>
                </a:schemeClr>
              </a:solidFill>
            </c:spPr>
          </c:dPt>
          <c:dPt>
            <c:idx val="10"/>
            <c:invertIfNegative val="0"/>
            <c:bubble3D val="0"/>
            <c:spPr>
              <a:solidFill>
                <a:schemeClr val="accent6">
                  <a:lumMod val="75000"/>
                </a:schemeClr>
              </a:solidFill>
            </c:spPr>
          </c:dPt>
          <c:cat>
            <c:strRef>
              <c:f>Data!$G$6:$G$16</c:f>
              <c:strCache>
                <c:ptCount val="11"/>
                <c:pt idx="0">
                  <c:v>Pupil A</c:v>
                </c:pt>
                <c:pt idx="1">
                  <c:v>Pupil B</c:v>
                </c:pt>
                <c:pt idx="2">
                  <c:v>Pupil C</c:v>
                </c:pt>
                <c:pt idx="3">
                  <c:v>Pupil D</c:v>
                </c:pt>
                <c:pt idx="4">
                  <c:v>Pupil E</c:v>
                </c:pt>
                <c:pt idx="5">
                  <c:v>Pupil F</c:v>
                </c:pt>
                <c:pt idx="6">
                  <c:v>AVERAGE 2022</c:v>
                </c:pt>
                <c:pt idx="7">
                  <c:v>AVERAGE 2021</c:v>
                </c:pt>
                <c:pt idx="8">
                  <c:v>AVERAGE 2020</c:v>
                </c:pt>
                <c:pt idx="9">
                  <c:v>AVERAGE 2019</c:v>
                </c:pt>
                <c:pt idx="10">
                  <c:v>AVERAGE 2018</c:v>
                </c:pt>
              </c:strCache>
            </c:strRef>
          </c:cat>
          <c:val>
            <c:numRef>
              <c:f>Data!$I$6:$I$16</c:f>
              <c:numCache>
                <c:formatCode>General</c:formatCode>
                <c:ptCount val="11"/>
                <c:pt idx="0">
                  <c:v>0</c:v>
                </c:pt>
                <c:pt idx="1">
                  <c:v>-0.25</c:v>
                </c:pt>
                <c:pt idx="2">
                  <c:v>-1.8</c:v>
                </c:pt>
                <c:pt idx="3">
                  <c:v>0.6</c:v>
                </c:pt>
                <c:pt idx="4">
                  <c:v>-6</c:v>
                </c:pt>
                <c:pt idx="5">
                  <c:v>-0.2</c:v>
                </c:pt>
                <c:pt idx="6">
                  <c:v>-1.2749999999999999</c:v>
                </c:pt>
                <c:pt idx="7">
                  <c:v>-0.35</c:v>
                </c:pt>
                <c:pt idx="9">
                  <c:v>-0.59167000000000003</c:v>
                </c:pt>
                <c:pt idx="10">
                  <c:v>-0.88056000000000001</c:v>
                </c:pt>
              </c:numCache>
            </c:numRef>
          </c:val>
        </c:ser>
        <c:dLbls>
          <c:showLegendKey val="0"/>
          <c:showVal val="0"/>
          <c:showCatName val="0"/>
          <c:showSerName val="0"/>
          <c:showPercent val="0"/>
          <c:showBubbleSize val="0"/>
        </c:dLbls>
        <c:gapWidth val="75"/>
        <c:shape val="box"/>
        <c:axId val="804644864"/>
        <c:axId val="252561088"/>
        <c:axId val="0"/>
      </c:bar3DChart>
      <c:catAx>
        <c:axId val="804644864"/>
        <c:scaling>
          <c:orientation val="minMax"/>
        </c:scaling>
        <c:delete val="0"/>
        <c:axPos val="b"/>
        <c:majorTickMark val="none"/>
        <c:minorTickMark val="none"/>
        <c:tickLblPos val="nextTo"/>
        <c:crossAx val="252561088"/>
        <c:crosses val="autoZero"/>
        <c:auto val="1"/>
        <c:lblAlgn val="ctr"/>
        <c:lblOffset val="100"/>
        <c:noMultiLvlLbl val="0"/>
      </c:catAx>
      <c:valAx>
        <c:axId val="252561088"/>
        <c:scaling>
          <c:orientation val="minMax"/>
        </c:scaling>
        <c:delete val="0"/>
        <c:axPos val="l"/>
        <c:majorGridlines/>
        <c:numFmt formatCode="General" sourceLinked="1"/>
        <c:majorTickMark val="none"/>
        <c:minorTickMark val="none"/>
        <c:tickLblPos val="nextTo"/>
        <c:crossAx val="804644864"/>
        <c:crosses val="autoZero"/>
        <c:crossBetween val="between"/>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D718-ABA9-4E32-BE2D-BEE64BC2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Boyle</dc:creator>
  <cp:lastModifiedBy>Patrick Boyle</cp:lastModifiedBy>
  <cp:revision>2</cp:revision>
  <cp:lastPrinted>2022-10-18T15:03:00Z</cp:lastPrinted>
  <dcterms:created xsi:type="dcterms:W3CDTF">2023-03-14T11:58:00Z</dcterms:created>
  <dcterms:modified xsi:type="dcterms:W3CDTF">2023-03-14T11:58:00Z</dcterms:modified>
</cp:coreProperties>
</file>