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rPr>
          <w:rFonts w:asciiTheme="minorHAnsi" w:hAnsiTheme="minorHAnsi"/>
          <w:sz w:val="22"/>
          <w:szCs w:val="22"/>
        </w:rPr>
      </w:pPr>
      <w:bookmarkStart w:id="0" w:name="_KS2_SATS_Analysis"/>
      <w:bookmarkStart w:id="1" w:name="_Toc115268624"/>
      <w:bookmarkStart w:id="2" w:name="_Toc57719799"/>
      <w:bookmarkEnd w:id="0"/>
      <w:r>
        <w:rPr>
          <w:rFonts w:asciiTheme="minorHAnsi" w:hAnsiTheme="minorHAnsi"/>
          <w:sz w:val="22"/>
          <w:szCs w:val="22"/>
        </w:rPr>
        <w:t>KS2 SATS</w:t>
      </w:r>
      <w:bookmarkEnd w:id="1"/>
      <w:r>
        <w:rPr>
          <w:rFonts w:asciiTheme="minorHAnsi" w:hAnsiTheme="minorHAnsi"/>
          <w:sz w:val="22"/>
          <w:szCs w:val="22"/>
        </w:rPr>
        <w:t xml:space="preserve"> </w:t>
      </w:r>
      <w:bookmarkEnd w:id="2"/>
      <w:r>
        <w:rPr>
          <w:rFonts w:asciiTheme="minorHAnsi" w:hAnsiTheme="minorHAnsi"/>
          <w:sz w:val="22"/>
          <w:szCs w:val="22"/>
        </w:rPr>
        <w:t>ANALYSIS 21-22</w:t>
      </w:r>
    </w:p>
    <w:p>
      <w:pPr>
        <w:rPr>
          <w:b/>
        </w:rPr>
      </w:pPr>
      <w:r>
        <w:t xml:space="preserve">Seven pupils were due to take their SATS in 2022, all students who attempted the tests achieved results broadly in line with their capabilities and indicated by </w:t>
      </w:r>
      <w:smartTag w:uri="urn:schemas-microsoft-com:office:smarttags" w:element="stockticker">
        <w:r>
          <w:t>CAT</w:t>
        </w:r>
      </w:smartTag>
      <w:r>
        <w:t xml:space="preserve">4 assessments and Target Tracker data. Results in 2022 for Reading and English – </w:t>
      </w:r>
      <w:smartTag w:uri="urn:schemas-microsoft-com:office:smarttags" w:element="stockticker">
        <w:r>
          <w:t>GPS</w:t>
        </w:r>
      </w:smartTag>
      <w:r>
        <w:t xml:space="preserve"> were comparable to the previous years estimated grades, just falling slightly below. Results in Maths were significantly lower than the 2 previous year’s estimations, a major contributing factor to this being 4 of the 7 pupils due to sit the tests either refusing to take the test or being absent. Below is an overview of Chaigeley pupil’s outcomes from the past 3 years. Due to the Corona Virus Outbreak SATS exams at KS2 did not take place in 2020 and 2021. Teachers were asked by the DfE to provide an indication of the levels of the students due to sit the exams in the 3 key areas of assessment; these have been use by way of comparison. For the first time since 2019 comparison against national data is available and included, due to the nature of our setting, the low ability of pupils and  the entry level of the majority of the students who enter at KS2 our results are significantly below average in comparison to National data in 2 of the 3 measures which are mainly representative of mainstream settings. A further study will be undertaken once data is available to compare our outcomes against a sample of similar settings.</w:t>
      </w:r>
      <w:r>
        <w:rPr>
          <w:b/>
        </w:rPr>
        <w:tab/>
      </w:r>
    </w:p>
    <w:p>
      <w:pPr>
        <w:rPr>
          <w:sz w:val="24"/>
          <w:szCs w:val="24"/>
        </w:rPr>
      </w:pPr>
      <w:r>
        <w:rPr>
          <w:b/>
          <w:sz w:val="24"/>
          <w:szCs w:val="24"/>
        </w:rPr>
        <w:t>See Below Table for Breakdown and full analysis</w:t>
      </w:r>
      <w:bookmarkStart w:id="3" w:name="_GoBack"/>
      <w:bookmarkEnd w:id="3"/>
      <w:r>
        <w:rPr>
          <w:sz w:val="24"/>
          <w:szCs w:val="24"/>
        </w:rPr>
        <w:br w:type="page"/>
      </w:r>
    </w:p>
    <w:p>
      <w:pPr>
        <w:rPr>
          <w:sz w:val="24"/>
          <w:szCs w:val="24"/>
        </w:rPr>
        <w:sectPr>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W w:w="15427" w:type="dxa"/>
        <w:tblInd w:w="-731" w:type="dxa"/>
        <w:tblLook w:val="04A0" w:firstRow="1" w:lastRow="0" w:firstColumn="1" w:lastColumn="0" w:noHBand="0" w:noVBand="1"/>
      </w:tblPr>
      <w:tblGrid>
        <w:gridCol w:w="1548"/>
        <w:gridCol w:w="1701"/>
        <w:gridCol w:w="1206"/>
        <w:gridCol w:w="975"/>
        <w:gridCol w:w="1221"/>
        <w:gridCol w:w="1134"/>
        <w:gridCol w:w="1134"/>
        <w:gridCol w:w="1134"/>
        <w:gridCol w:w="2267"/>
        <w:gridCol w:w="1028"/>
        <w:gridCol w:w="1028"/>
        <w:gridCol w:w="1051"/>
      </w:tblGrid>
      <w:tr>
        <w:trPr>
          <w:trHeight w:val="1215"/>
        </w:trPr>
        <w:tc>
          <w:tcPr>
            <w:tcW w:w="15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spacing w:after="0" w:line="240" w:lineRule="auto"/>
              <w:rPr>
                <w:rFonts w:ascii="Calibri" w:eastAsia="Times New Roman" w:hAnsi="Calibri" w:cs="Calibri"/>
                <w:b/>
                <w:bCs/>
                <w:color w:val="0070C0"/>
                <w:lang w:eastAsia="en-GB"/>
              </w:rPr>
            </w:pPr>
            <w:r>
              <w:rPr>
                <w:rFonts w:ascii="Calibri" w:eastAsia="Times New Roman" w:hAnsi="Calibri" w:cs="Calibri"/>
                <w:b/>
                <w:bCs/>
                <w:color w:val="0070C0"/>
                <w:lang w:eastAsia="en-GB"/>
              </w:rPr>
              <w:lastRenderedPageBreak/>
              <w:t>Number of Pupils</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7 (2022) </w:t>
            </w:r>
            <w:r>
              <w:rPr>
                <w:rFonts w:ascii="Calibri" w:eastAsia="Times New Roman" w:hAnsi="Calibri" w:cs="Calibri"/>
                <w:b/>
                <w:bCs/>
                <w:color w:val="000000"/>
                <w:lang w:eastAsia="en-GB"/>
              </w:rPr>
              <w:br/>
              <w:t xml:space="preserve">3 (2021) </w:t>
            </w:r>
            <w:r>
              <w:rPr>
                <w:rFonts w:ascii="Calibri" w:eastAsia="Times New Roman" w:hAnsi="Calibri" w:cs="Calibri"/>
                <w:b/>
                <w:bCs/>
                <w:color w:val="000000"/>
                <w:lang w:eastAsia="en-GB"/>
              </w:rPr>
              <w:br/>
              <w:t>5 (2020)</w:t>
            </w:r>
          </w:p>
        </w:tc>
        <w:tc>
          <w:tcPr>
            <w:tcW w:w="1206" w:type="dxa"/>
            <w:vMerge w:val="restart"/>
            <w:tcBorders>
              <w:top w:val="single" w:sz="8" w:space="0" w:color="auto"/>
              <w:left w:val="nil"/>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632523"/>
                <w:sz w:val="20"/>
                <w:szCs w:val="20"/>
                <w:lang w:eastAsia="en-GB"/>
              </w:rPr>
            </w:pPr>
            <w:r>
              <w:rPr>
                <w:rFonts w:ascii="Calibri" w:eastAsia="Times New Roman" w:hAnsi="Calibri" w:cs="Calibri"/>
                <w:b/>
                <w:bCs/>
                <w:color w:val="632523"/>
                <w:sz w:val="20"/>
                <w:szCs w:val="20"/>
                <w:lang w:eastAsia="en-GB"/>
              </w:rPr>
              <w:t>At Expected</w:t>
            </w:r>
            <w:r>
              <w:rPr>
                <w:rFonts w:ascii="Calibri" w:eastAsia="Times New Roman" w:hAnsi="Calibri" w:cs="Calibri"/>
                <w:b/>
                <w:bCs/>
                <w:color w:val="632523"/>
                <w:sz w:val="20"/>
                <w:szCs w:val="20"/>
                <w:lang w:eastAsia="en-GB"/>
              </w:rPr>
              <w:br/>
              <w:t xml:space="preserve"> 2022</w:t>
            </w:r>
          </w:p>
        </w:tc>
        <w:tc>
          <w:tcPr>
            <w:tcW w:w="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632523"/>
                <w:sz w:val="20"/>
                <w:szCs w:val="20"/>
                <w:lang w:eastAsia="en-GB"/>
              </w:rPr>
            </w:pPr>
            <w:r>
              <w:rPr>
                <w:rFonts w:ascii="Calibri" w:eastAsia="Times New Roman" w:hAnsi="Calibri" w:cs="Calibri"/>
                <w:b/>
                <w:bCs/>
                <w:color w:val="632523"/>
                <w:sz w:val="20"/>
                <w:szCs w:val="20"/>
                <w:lang w:eastAsia="en-GB"/>
              </w:rPr>
              <w:t xml:space="preserve">Below Expected </w:t>
            </w:r>
            <w:r>
              <w:rPr>
                <w:rFonts w:ascii="Calibri" w:eastAsia="Times New Roman" w:hAnsi="Calibri" w:cs="Calibri"/>
                <w:b/>
                <w:bCs/>
                <w:color w:val="632523"/>
                <w:sz w:val="20"/>
                <w:szCs w:val="20"/>
                <w:lang w:eastAsia="en-GB"/>
              </w:rPr>
              <w:br/>
              <w:t>2022</w:t>
            </w:r>
          </w:p>
        </w:tc>
        <w:tc>
          <w:tcPr>
            <w:tcW w:w="12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Estimated at Expected</w:t>
            </w:r>
            <w:r>
              <w:rPr>
                <w:rFonts w:ascii="Calibri" w:eastAsia="Times New Roman" w:hAnsi="Calibri" w:cs="Calibri"/>
                <w:b/>
                <w:bCs/>
                <w:color w:val="000000"/>
                <w:sz w:val="20"/>
                <w:szCs w:val="20"/>
                <w:lang w:eastAsia="en-GB"/>
              </w:rPr>
              <w:br/>
              <w:t xml:space="preserve"> or above 2022</w:t>
            </w:r>
          </w:p>
        </w:tc>
        <w:tc>
          <w:tcPr>
            <w:tcW w:w="1134" w:type="dxa"/>
            <w:tcBorders>
              <w:top w:val="single" w:sz="8" w:space="0" w:color="auto"/>
              <w:left w:val="nil"/>
              <w:bottom w:val="nil"/>
              <w:right w:val="single" w:sz="8" w:space="0" w:color="auto"/>
            </w:tcBorders>
            <w:shd w:val="clear" w:color="auto" w:fill="auto"/>
            <w:vAlign w:val="center"/>
            <w:hideMark/>
          </w:tcPr>
          <w:p>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National Average% 2022</w:t>
            </w:r>
          </w:p>
        </w:tc>
        <w:tc>
          <w:tcPr>
            <w:tcW w:w="1134" w:type="dxa"/>
            <w:vMerge w:val="restart"/>
            <w:tcBorders>
              <w:top w:val="single" w:sz="8" w:space="0" w:color="auto"/>
              <w:left w:val="nil"/>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974706"/>
                <w:sz w:val="20"/>
                <w:szCs w:val="20"/>
                <w:lang w:eastAsia="en-GB"/>
              </w:rPr>
            </w:pPr>
            <w:r>
              <w:rPr>
                <w:rFonts w:ascii="Calibri" w:eastAsia="Times New Roman" w:hAnsi="Calibri" w:cs="Calibri"/>
                <w:b/>
                <w:bCs/>
                <w:color w:val="974706"/>
                <w:sz w:val="20"/>
                <w:szCs w:val="20"/>
                <w:lang w:eastAsia="en-GB"/>
              </w:rPr>
              <w:t>At Expected</w:t>
            </w:r>
            <w:r>
              <w:rPr>
                <w:rFonts w:ascii="Calibri" w:eastAsia="Times New Roman" w:hAnsi="Calibri" w:cs="Calibri"/>
                <w:b/>
                <w:bCs/>
                <w:color w:val="974706"/>
                <w:sz w:val="20"/>
                <w:szCs w:val="20"/>
                <w:lang w:eastAsia="en-GB"/>
              </w:rPr>
              <w:br/>
              <w:t xml:space="preserve"> 2021 (Teacher Assessed)</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974706"/>
                <w:sz w:val="20"/>
                <w:szCs w:val="20"/>
                <w:lang w:eastAsia="en-GB"/>
              </w:rPr>
            </w:pPr>
            <w:r>
              <w:rPr>
                <w:rFonts w:ascii="Calibri" w:eastAsia="Times New Roman" w:hAnsi="Calibri" w:cs="Calibri"/>
                <w:b/>
                <w:bCs/>
                <w:color w:val="974706"/>
                <w:sz w:val="20"/>
                <w:szCs w:val="20"/>
                <w:lang w:eastAsia="en-GB"/>
              </w:rPr>
              <w:t xml:space="preserve">Below Expected </w:t>
            </w:r>
            <w:r>
              <w:rPr>
                <w:rFonts w:ascii="Calibri" w:eastAsia="Times New Roman" w:hAnsi="Calibri" w:cs="Calibri"/>
                <w:b/>
                <w:bCs/>
                <w:color w:val="974706"/>
                <w:sz w:val="20"/>
                <w:szCs w:val="20"/>
                <w:lang w:eastAsia="en-GB"/>
              </w:rPr>
              <w:br/>
              <w:t>2021 (Teacher Assessed)</w:t>
            </w:r>
          </w:p>
        </w:tc>
        <w:tc>
          <w:tcPr>
            <w:tcW w:w="22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Estimated at Expected</w:t>
            </w:r>
            <w:r>
              <w:rPr>
                <w:rFonts w:ascii="Calibri" w:eastAsia="Times New Roman" w:hAnsi="Calibri" w:cs="Calibri"/>
                <w:b/>
                <w:bCs/>
                <w:color w:val="000000"/>
                <w:sz w:val="20"/>
                <w:szCs w:val="20"/>
                <w:lang w:eastAsia="en-GB"/>
              </w:rPr>
              <w:br/>
              <w:t xml:space="preserve"> or above 2021</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60497A"/>
                <w:sz w:val="20"/>
                <w:szCs w:val="20"/>
                <w:lang w:eastAsia="en-GB"/>
              </w:rPr>
            </w:pPr>
            <w:r>
              <w:rPr>
                <w:rFonts w:ascii="Calibri" w:eastAsia="Times New Roman" w:hAnsi="Calibri" w:cs="Calibri"/>
                <w:b/>
                <w:bCs/>
                <w:color w:val="60497A"/>
                <w:sz w:val="20"/>
                <w:szCs w:val="20"/>
                <w:lang w:eastAsia="en-GB"/>
              </w:rPr>
              <w:t>At Expected 2020 (Teacher Assessed)</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60497A"/>
                <w:sz w:val="20"/>
                <w:szCs w:val="20"/>
                <w:lang w:eastAsia="en-GB"/>
              </w:rPr>
            </w:pPr>
            <w:r>
              <w:rPr>
                <w:rFonts w:ascii="Calibri" w:eastAsia="Times New Roman" w:hAnsi="Calibri" w:cs="Calibri"/>
                <w:b/>
                <w:bCs/>
                <w:color w:val="60497A"/>
                <w:sz w:val="20"/>
                <w:szCs w:val="20"/>
                <w:lang w:eastAsia="en-GB"/>
              </w:rPr>
              <w:t>Below Expected 2020 (Teacher Assessed)</w:t>
            </w:r>
          </w:p>
        </w:tc>
        <w:tc>
          <w:tcPr>
            <w:tcW w:w="10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Estimated at Expected or above 2020</w:t>
            </w:r>
          </w:p>
        </w:tc>
      </w:tr>
      <w:tr>
        <w:trPr>
          <w:trHeight w:val="315"/>
        </w:trPr>
        <w:tc>
          <w:tcPr>
            <w:tcW w:w="1548"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70C0"/>
                <w:lang w:eastAsia="en-GB"/>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0000"/>
                <w:lang w:eastAsia="en-GB"/>
              </w:rPr>
            </w:pPr>
          </w:p>
        </w:tc>
        <w:tc>
          <w:tcPr>
            <w:tcW w:w="1206" w:type="dxa"/>
            <w:vMerge/>
            <w:tcBorders>
              <w:top w:val="single" w:sz="8" w:space="0" w:color="auto"/>
              <w:left w:val="nil"/>
              <w:bottom w:val="single" w:sz="8" w:space="0" w:color="000000"/>
              <w:right w:val="single" w:sz="8" w:space="0" w:color="auto"/>
            </w:tcBorders>
            <w:vAlign w:val="center"/>
            <w:hideMark/>
          </w:tcPr>
          <w:p>
            <w:pPr>
              <w:spacing w:after="0" w:line="240" w:lineRule="auto"/>
              <w:rPr>
                <w:rFonts w:ascii="Calibri" w:eastAsia="Times New Roman" w:hAnsi="Calibri" w:cs="Calibri"/>
                <w:b/>
                <w:bCs/>
                <w:color w:val="632523"/>
                <w:sz w:val="20"/>
                <w:szCs w:val="20"/>
                <w:lang w:eastAsia="en-GB"/>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632523"/>
                <w:sz w:val="20"/>
                <w:szCs w:val="20"/>
                <w:lang w:eastAsia="en-GB"/>
              </w:rPr>
            </w:pPr>
          </w:p>
        </w:tc>
        <w:tc>
          <w:tcPr>
            <w:tcW w:w="1221"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0000"/>
                <w:sz w:val="20"/>
                <w:szCs w:val="20"/>
                <w:lang w:eastAsia="en-GB"/>
              </w:rPr>
            </w:pP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w:t>
            </w:r>
          </w:p>
        </w:tc>
        <w:tc>
          <w:tcPr>
            <w:tcW w:w="1134" w:type="dxa"/>
            <w:vMerge/>
            <w:tcBorders>
              <w:top w:val="single" w:sz="8" w:space="0" w:color="auto"/>
              <w:left w:val="nil"/>
              <w:bottom w:val="single" w:sz="8" w:space="0" w:color="000000"/>
              <w:right w:val="single" w:sz="8" w:space="0" w:color="auto"/>
            </w:tcBorders>
            <w:vAlign w:val="center"/>
            <w:hideMark/>
          </w:tcPr>
          <w:p>
            <w:pPr>
              <w:spacing w:after="0" w:line="240" w:lineRule="auto"/>
              <w:rPr>
                <w:rFonts w:ascii="Calibri" w:eastAsia="Times New Roman" w:hAnsi="Calibri" w:cs="Calibri"/>
                <w:b/>
                <w:bCs/>
                <w:color w:val="974706"/>
                <w:sz w:val="20"/>
                <w:szCs w:val="20"/>
                <w:lang w:eastAsia="en-GB"/>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974706"/>
                <w:sz w:val="20"/>
                <w:szCs w:val="20"/>
                <w:lang w:eastAsia="en-GB"/>
              </w:rPr>
            </w:pPr>
          </w:p>
        </w:tc>
        <w:tc>
          <w:tcPr>
            <w:tcW w:w="2267"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0000"/>
                <w:sz w:val="20"/>
                <w:szCs w:val="20"/>
                <w:lang w:eastAsia="en-GB"/>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60497A"/>
                <w:sz w:val="20"/>
                <w:szCs w:val="20"/>
                <w:lang w:eastAsia="en-GB"/>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60497A"/>
                <w:sz w:val="20"/>
                <w:szCs w:val="20"/>
                <w:lang w:eastAsia="en-GB"/>
              </w:rPr>
            </w:pPr>
          </w:p>
        </w:tc>
        <w:tc>
          <w:tcPr>
            <w:tcW w:w="1051"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0000"/>
                <w:sz w:val="20"/>
                <w:szCs w:val="20"/>
                <w:lang w:eastAsia="en-GB"/>
              </w:rPr>
            </w:pPr>
          </w:p>
        </w:tc>
      </w:tr>
      <w:tr>
        <w:trPr>
          <w:trHeight w:val="315"/>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0070C0"/>
                <w:lang w:eastAsia="en-GB"/>
              </w:rPr>
            </w:pPr>
            <w:r>
              <w:rPr>
                <w:rFonts w:ascii="Calibri" w:eastAsia="Times New Roman" w:hAnsi="Calibri" w:cs="Calibri"/>
                <w:b/>
                <w:bCs/>
                <w:color w:val="0070C0"/>
                <w:lang w:eastAsia="en-GB"/>
              </w:rPr>
              <w:t> Key Areas for</w:t>
            </w:r>
            <w:r>
              <w:rPr>
                <w:rFonts w:ascii="Calibri" w:eastAsia="Times New Roman" w:hAnsi="Calibri" w:cs="Calibri"/>
                <w:b/>
                <w:bCs/>
                <w:color w:val="0070C0"/>
                <w:lang w:eastAsia="en-GB"/>
              </w:rPr>
              <w:br/>
              <w:t xml:space="preserve"> Assessment</w:t>
            </w:r>
          </w:p>
        </w:tc>
        <w:tc>
          <w:tcPr>
            <w:tcW w:w="1701"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English - Reading</w:t>
            </w:r>
          </w:p>
        </w:tc>
        <w:tc>
          <w:tcPr>
            <w:tcW w:w="120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4</w:t>
            </w:r>
          </w:p>
        </w:tc>
        <w:tc>
          <w:tcPr>
            <w:tcW w:w="9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w:t>
            </w:r>
          </w:p>
        </w:tc>
        <w:tc>
          <w:tcPr>
            <w:tcW w:w="1221"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963634"/>
                <w:lang w:eastAsia="en-GB"/>
              </w:rPr>
            </w:pPr>
            <w:r>
              <w:rPr>
                <w:rFonts w:ascii="Calibri" w:eastAsia="Times New Roman" w:hAnsi="Calibri" w:cs="Calibri"/>
                <w:b/>
                <w:bCs/>
                <w:color w:val="963634"/>
                <w:lang w:eastAsia="en-GB"/>
              </w:rPr>
              <w:t>57%</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74%</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2267"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974706"/>
                <w:lang w:eastAsia="en-GB"/>
              </w:rPr>
            </w:pPr>
            <w:r>
              <w:rPr>
                <w:rFonts w:ascii="Calibri" w:eastAsia="Times New Roman" w:hAnsi="Calibri" w:cs="Calibri"/>
                <w:b/>
                <w:bCs/>
                <w:color w:val="974706"/>
                <w:lang w:eastAsia="en-GB"/>
              </w:rPr>
              <w:t>66%</w:t>
            </w:r>
          </w:p>
        </w:tc>
        <w:tc>
          <w:tcPr>
            <w:tcW w:w="1028"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w:t>
            </w:r>
          </w:p>
        </w:tc>
        <w:tc>
          <w:tcPr>
            <w:tcW w:w="1028"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051"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403152"/>
                <w:lang w:eastAsia="en-GB"/>
              </w:rPr>
            </w:pPr>
            <w:r>
              <w:rPr>
                <w:rFonts w:ascii="Calibri" w:eastAsia="Times New Roman" w:hAnsi="Calibri" w:cs="Calibri"/>
                <w:b/>
                <w:bCs/>
                <w:color w:val="403152"/>
                <w:lang w:eastAsia="en-GB"/>
              </w:rPr>
              <w:t>60%</w:t>
            </w:r>
          </w:p>
        </w:tc>
      </w:tr>
      <w:tr>
        <w:trPr>
          <w:trHeight w:val="315"/>
        </w:trPr>
        <w:tc>
          <w:tcPr>
            <w:tcW w:w="1548"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70C0"/>
                <w:lang w:eastAsia="en-GB"/>
              </w:rPr>
            </w:pPr>
          </w:p>
        </w:tc>
        <w:tc>
          <w:tcPr>
            <w:tcW w:w="1701"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English - GPS</w:t>
            </w:r>
          </w:p>
        </w:tc>
        <w:tc>
          <w:tcPr>
            <w:tcW w:w="120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9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5</w:t>
            </w:r>
          </w:p>
        </w:tc>
        <w:tc>
          <w:tcPr>
            <w:tcW w:w="1221"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963634"/>
                <w:lang w:eastAsia="en-GB"/>
              </w:rPr>
            </w:pPr>
            <w:r>
              <w:rPr>
                <w:rFonts w:ascii="Calibri" w:eastAsia="Times New Roman" w:hAnsi="Calibri" w:cs="Calibri"/>
                <w:b/>
                <w:bCs/>
                <w:color w:val="963634"/>
                <w:lang w:eastAsia="en-GB"/>
              </w:rPr>
              <w:t>29%</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72%</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2267"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974706"/>
                <w:lang w:eastAsia="en-GB"/>
              </w:rPr>
            </w:pPr>
            <w:r>
              <w:rPr>
                <w:rFonts w:ascii="Calibri" w:eastAsia="Times New Roman" w:hAnsi="Calibri" w:cs="Calibri"/>
                <w:b/>
                <w:bCs/>
                <w:color w:val="974706"/>
                <w:lang w:eastAsia="en-GB"/>
              </w:rPr>
              <w:t>33%</w:t>
            </w:r>
          </w:p>
        </w:tc>
        <w:tc>
          <w:tcPr>
            <w:tcW w:w="1028"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w:t>
            </w:r>
          </w:p>
        </w:tc>
        <w:tc>
          <w:tcPr>
            <w:tcW w:w="1028"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051"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403152"/>
                <w:lang w:eastAsia="en-GB"/>
              </w:rPr>
            </w:pPr>
            <w:r>
              <w:rPr>
                <w:rFonts w:ascii="Calibri" w:eastAsia="Times New Roman" w:hAnsi="Calibri" w:cs="Calibri"/>
                <w:b/>
                <w:bCs/>
                <w:color w:val="403152"/>
                <w:lang w:eastAsia="en-GB"/>
              </w:rPr>
              <w:t>60%</w:t>
            </w:r>
          </w:p>
        </w:tc>
      </w:tr>
      <w:tr>
        <w:trPr>
          <w:trHeight w:val="315"/>
        </w:trPr>
        <w:tc>
          <w:tcPr>
            <w:tcW w:w="1548"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70C0"/>
                <w:lang w:eastAsia="en-GB"/>
              </w:rPr>
            </w:pPr>
          </w:p>
        </w:tc>
        <w:tc>
          <w:tcPr>
            <w:tcW w:w="1701"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Maths</w:t>
            </w:r>
          </w:p>
        </w:tc>
        <w:tc>
          <w:tcPr>
            <w:tcW w:w="120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9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6</w:t>
            </w:r>
          </w:p>
        </w:tc>
        <w:tc>
          <w:tcPr>
            <w:tcW w:w="1221"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963634"/>
                <w:lang w:eastAsia="en-GB"/>
              </w:rPr>
            </w:pPr>
            <w:r>
              <w:rPr>
                <w:rFonts w:ascii="Calibri" w:eastAsia="Times New Roman" w:hAnsi="Calibri" w:cs="Calibri"/>
                <w:b/>
                <w:bCs/>
                <w:color w:val="963634"/>
                <w:lang w:eastAsia="en-GB"/>
              </w:rPr>
              <w:t>14%</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71%</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2267"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974706"/>
                <w:lang w:eastAsia="en-GB"/>
              </w:rPr>
            </w:pPr>
            <w:r>
              <w:rPr>
                <w:rFonts w:ascii="Calibri" w:eastAsia="Times New Roman" w:hAnsi="Calibri" w:cs="Calibri"/>
                <w:b/>
                <w:bCs/>
                <w:color w:val="974706"/>
                <w:lang w:eastAsia="en-GB"/>
              </w:rPr>
              <w:t>66%</w:t>
            </w:r>
          </w:p>
        </w:tc>
        <w:tc>
          <w:tcPr>
            <w:tcW w:w="1028"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028"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w:t>
            </w:r>
          </w:p>
        </w:tc>
        <w:tc>
          <w:tcPr>
            <w:tcW w:w="1051"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403152"/>
                <w:lang w:eastAsia="en-GB"/>
              </w:rPr>
            </w:pPr>
            <w:r>
              <w:rPr>
                <w:rFonts w:ascii="Calibri" w:eastAsia="Times New Roman" w:hAnsi="Calibri" w:cs="Calibri"/>
                <w:b/>
                <w:bCs/>
                <w:color w:val="403152"/>
                <w:lang w:eastAsia="en-GB"/>
              </w:rPr>
              <w:t>40%</w:t>
            </w:r>
          </w:p>
        </w:tc>
      </w:tr>
    </w:tbl>
    <w:p>
      <w:pPr>
        <w:rPr>
          <w:b/>
          <w:color w:val="17365D" w:themeColor="text2" w:themeShade="BF"/>
          <w:sz w:val="28"/>
          <w:szCs w:val="28"/>
          <w:u w:val="single"/>
        </w:rPr>
      </w:pPr>
      <w:r>
        <w:rPr>
          <w:b/>
          <w:color w:val="17365D" w:themeColor="text2" w:themeShade="BF"/>
          <w:sz w:val="28"/>
          <w:szCs w:val="28"/>
          <w:u w:val="single"/>
        </w:rPr>
        <w:t>Below is an analysis of 2022 SATS exams results as a comparison</w:t>
      </w:r>
    </w:p>
    <w:p>
      <w:pPr>
        <w:rPr>
          <w:b/>
          <w:sz w:val="24"/>
          <w:szCs w:val="24"/>
        </w:rPr>
      </w:pPr>
      <w:r>
        <w:rPr>
          <w:b/>
          <w:sz w:val="24"/>
          <w:szCs w:val="24"/>
        </w:rPr>
        <w:t>Number of pupils taking SATs – 7</w:t>
      </w:r>
    </w:p>
    <w:p>
      <w:pPr>
        <w:rPr>
          <w:b/>
          <w:sz w:val="24"/>
          <w:szCs w:val="24"/>
        </w:rPr>
      </w:pPr>
      <w:r>
        <w:rPr>
          <w:b/>
          <w:sz w:val="24"/>
          <w:szCs w:val="24"/>
        </w:rPr>
        <w:t>Number of pupils achieving Above or expected in all areas – 0</w:t>
      </w:r>
    </w:p>
    <w:p>
      <w:pPr>
        <w:rPr>
          <w:b/>
          <w:sz w:val="24"/>
          <w:szCs w:val="24"/>
        </w:rPr>
      </w:pPr>
      <w:r>
        <w:rPr>
          <w:b/>
          <w:sz w:val="24"/>
          <w:szCs w:val="24"/>
        </w:rPr>
        <w:t>Number of pupils achieving Above or expected in Reading – 4</w:t>
      </w:r>
    </w:p>
    <w:p>
      <w:pPr>
        <w:rPr>
          <w:b/>
          <w:sz w:val="24"/>
          <w:szCs w:val="24"/>
        </w:rPr>
      </w:pPr>
      <w:r>
        <w:rPr>
          <w:b/>
          <w:sz w:val="24"/>
          <w:szCs w:val="24"/>
        </w:rPr>
        <w:t>Number of pupils achieving Above or expected in Maths - 1</w:t>
      </w:r>
    </w:p>
    <w:p>
      <w:pPr>
        <w:rPr>
          <w:b/>
          <w:sz w:val="24"/>
          <w:szCs w:val="24"/>
        </w:rPr>
      </w:pPr>
      <w:r>
        <w:rPr>
          <w:b/>
          <w:sz w:val="24"/>
          <w:szCs w:val="24"/>
        </w:rPr>
        <w:t>Number of Pupils achieving Above or expected in GPS – 2</w:t>
      </w:r>
    </w:p>
    <w:p>
      <w:pPr>
        <w:rPr>
          <w:b/>
          <w:sz w:val="24"/>
          <w:szCs w:val="24"/>
        </w:rPr>
      </w:pPr>
      <w:r>
        <w:rPr>
          <w:b/>
          <w:sz w:val="24"/>
          <w:szCs w:val="24"/>
        </w:rPr>
        <w:t>Number of Pupils Absent – Reading (1), GPS (1), Maths (4)</w:t>
      </w:r>
    </w:p>
    <w:p>
      <w:pPr>
        <w:rPr>
          <w:b/>
          <w:sz w:val="28"/>
          <w:szCs w:val="28"/>
          <w:u w:val="single"/>
        </w:rPr>
      </w:pPr>
      <w:r>
        <w:rPr>
          <w:b/>
          <w:sz w:val="28"/>
          <w:szCs w:val="28"/>
          <w:u w:val="single"/>
        </w:rPr>
        <w:t>Average points scores (based on those who sat tests)</w:t>
      </w:r>
    </w:p>
    <w:tbl>
      <w:tblPr>
        <w:tblStyle w:val="TableGrid"/>
        <w:tblW w:w="0" w:type="auto"/>
        <w:tblLook w:val="04A0" w:firstRow="1" w:lastRow="0" w:firstColumn="1" w:lastColumn="0" w:noHBand="0" w:noVBand="1"/>
      </w:tblPr>
      <w:tblGrid>
        <w:gridCol w:w="1981"/>
        <w:gridCol w:w="1880"/>
        <w:gridCol w:w="1921"/>
        <w:gridCol w:w="1854"/>
      </w:tblGrid>
      <w:tr>
        <w:tc>
          <w:tcPr>
            <w:tcW w:w="1981" w:type="dxa"/>
          </w:tcPr>
          <w:p>
            <w:pPr>
              <w:rPr>
                <w:b/>
                <w:sz w:val="28"/>
                <w:szCs w:val="28"/>
              </w:rPr>
            </w:pPr>
          </w:p>
        </w:tc>
        <w:tc>
          <w:tcPr>
            <w:tcW w:w="1880" w:type="dxa"/>
          </w:tcPr>
          <w:p>
            <w:pPr>
              <w:rPr>
                <w:b/>
                <w:sz w:val="24"/>
                <w:szCs w:val="24"/>
              </w:rPr>
            </w:pPr>
            <w:r>
              <w:rPr>
                <w:b/>
                <w:sz w:val="24"/>
                <w:szCs w:val="24"/>
              </w:rPr>
              <w:t>English – GPS</w:t>
            </w:r>
          </w:p>
        </w:tc>
        <w:tc>
          <w:tcPr>
            <w:tcW w:w="1921" w:type="dxa"/>
          </w:tcPr>
          <w:p>
            <w:pPr>
              <w:rPr>
                <w:b/>
                <w:sz w:val="24"/>
                <w:szCs w:val="24"/>
              </w:rPr>
            </w:pPr>
            <w:r>
              <w:rPr>
                <w:b/>
                <w:sz w:val="24"/>
                <w:szCs w:val="24"/>
              </w:rPr>
              <w:t>English – Reading</w:t>
            </w:r>
          </w:p>
        </w:tc>
        <w:tc>
          <w:tcPr>
            <w:tcW w:w="1854" w:type="dxa"/>
          </w:tcPr>
          <w:p>
            <w:pPr>
              <w:rPr>
                <w:b/>
                <w:sz w:val="24"/>
                <w:szCs w:val="24"/>
              </w:rPr>
            </w:pPr>
            <w:r>
              <w:rPr>
                <w:b/>
                <w:sz w:val="24"/>
                <w:szCs w:val="24"/>
              </w:rPr>
              <w:t>Maths</w:t>
            </w:r>
          </w:p>
        </w:tc>
      </w:tr>
      <w:tr>
        <w:tc>
          <w:tcPr>
            <w:tcW w:w="1981" w:type="dxa"/>
          </w:tcPr>
          <w:p>
            <w:pPr>
              <w:rPr>
                <w:b/>
                <w:sz w:val="28"/>
                <w:szCs w:val="28"/>
              </w:rPr>
            </w:pPr>
            <w:r>
              <w:rPr>
                <w:b/>
                <w:sz w:val="28"/>
                <w:szCs w:val="28"/>
              </w:rPr>
              <w:t>Chaigeley 2022</w:t>
            </w:r>
          </w:p>
        </w:tc>
        <w:tc>
          <w:tcPr>
            <w:tcW w:w="1880" w:type="dxa"/>
          </w:tcPr>
          <w:p>
            <w:pPr>
              <w:rPr>
                <w:b/>
                <w:sz w:val="28"/>
                <w:szCs w:val="28"/>
              </w:rPr>
            </w:pPr>
            <w:r>
              <w:rPr>
                <w:b/>
                <w:sz w:val="28"/>
                <w:szCs w:val="28"/>
              </w:rPr>
              <w:t>94</w:t>
            </w:r>
          </w:p>
        </w:tc>
        <w:tc>
          <w:tcPr>
            <w:tcW w:w="1921" w:type="dxa"/>
          </w:tcPr>
          <w:p>
            <w:pPr>
              <w:rPr>
                <w:b/>
                <w:sz w:val="28"/>
                <w:szCs w:val="28"/>
              </w:rPr>
            </w:pPr>
            <w:r>
              <w:rPr>
                <w:b/>
                <w:sz w:val="28"/>
                <w:szCs w:val="28"/>
              </w:rPr>
              <w:t>99</w:t>
            </w:r>
          </w:p>
        </w:tc>
        <w:tc>
          <w:tcPr>
            <w:tcW w:w="1854" w:type="dxa"/>
          </w:tcPr>
          <w:p>
            <w:pPr>
              <w:rPr>
                <w:b/>
                <w:sz w:val="28"/>
                <w:szCs w:val="28"/>
              </w:rPr>
            </w:pPr>
            <w:r>
              <w:rPr>
                <w:b/>
                <w:sz w:val="28"/>
                <w:szCs w:val="28"/>
              </w:rPr>
              <w:t>96</w:t>
            </w:r>
          </w:p>
        </w:tc>
      </w:tr>
      <w:tr>
        <w:tc>
          <w:tcPr>
            <w:tcW w:w="1981" w:type="dxa"/>
          </w:tcPr>
          <w:p>
            <w:pPr>
              <w:rPr>
                <w:b/>
                <w:sz w:val="28"/>
                <w:szCs w:val="28"/>
              </w:rPr>
            </w:pPr>
            <w:r>
              <w:rPr>
                <w:b/>
                <w:sz w:val="28"/>
                <w:szCs w:val="28"/>
              </w:rPr>
              <w:t>National Average 2022</w:t>
            </w:r>
          </w:p>
        </w:tc>
        <w:tc>
          <w:tcPr>
            <w:tcW w:w="1880" w:type="dxa"/>
          </w:tcPr>
          <w:p>
            <w:pPr>
              <w:rPr>
                <w:b/>
                <w:sz w:val="28"/>
                <w:szCs w:val="28"/>
              </w:rPr>
            </w:pPr>
            <w:r>
              <w:rPr>
                <w:b/>
                <w:sz w:val="28"/>
                <w:szCs w:val="28"/>
              </w:rPr>
              <w:t>105</w:t>
            </w:r>
          </w:p>
        </w:tc>
        <w:tc>
          <w:tcPr>
            <w:tcW w:w="1921" w:type="dxa"/>
          </w:tcPr>
          <w:p>
            <w:pPr>
              <w:rPr>
                <w:b/>
                <w:sz w:val="28"/>
                <w:szCs w:val="28"/>
              </w:rPr>
            </w:pPr>
            <w:r>
              <w:rPr>
                <w:b/>
                <w:sz w:val="28"/>
                <w:szCs w:val="28"/>
              </w:rPr>
              <w:t>104</w:t>
            </w:r>
          </w:p>
        </w:tc>
        <w:tc>
          <w:tcPr>
            <w:tcW w:w="1854" w:type="dxa"/>
          </w:tcPr>
          <w:p>
            <w:pPr>
              <w:rPr>
                <w:b/>
                <w:sz w:val="28"/>
                <w:szCs w:val="28"/>
              </w:rPr>
            </w:pPr>
            <w:r>
              <w:rPr>
                <w:b/>
                <w:sz w:val="28"/>
                <w:szCs w:val="28"/>
              </w:rPr>
              <w:t>105</w:t>
            </w:r>
          </w:p>
        </w:tc>
      </w:tr>
    </w:tbl>
    <w:p>
      <w:pPr>
        <w:sectPr>
          <w:pgSz w:w="16838" w:h="11906" w:orient="landscape"/>
          <w:pgMar w:top="1440" w:right="1440" w:bottom="1440" w:left="1440" w:header="708" w:footer="708" w:gutter="0"/>
          <w:cols w:space="708"/>
          <w:docGrid w:linePitch="360"/>
        </w:sectPr>
      </w:pPr>
    </w:p>
    <w:p>
      <w:pPr>
        <w:pStyle w:val="Heading2"/>
        <w:rPr>
          <w:b w:val="0"/>
          <w:color w:val="000000" w:themeColor="text1"/>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2836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330526"/>
      <w:docPartObj>
        <w:docPartGallery w:val="Watermarks"/>
        <w:docPartUnique/>
      </w:docPartObj>
    </w:sdtPr>
    <w:sdtContent>
      <w:p>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6753">
      <w:bodyDiv w:val="1"/>
      <w:marLeft w:val="0"/>
      <w:marRight w:val="0"/>
      <w:marTop w:val="0"/>
      <w:marBottom w:val="0"/>
      <w:divBdr>
        <w:top w:val="none" w:sz="0" w:space="0" w:color="auto"/>
        <w:left w:val="none" w:sz="0" w:space="0" w:color="auto"/>
        <w:bottom w:val="none" w:sz="0" w:space="0" w:color="auto"/>
        <w:right w:val="none" w:sz="0" w:space="0" w:color="auto"/>
      </w:divBdr>
    </w:div>
    <w:div w:id="238487872">
      <w:bodyDiv w:val="1"/>
      <w:marLeft w:val="0"/>
      <w:marRight w:val="0"/>
      <w:marTop w:val="0"/>
      <w:marBottom w:val="0"/>
      <w:divBdr>
        <w:top w:val="none" w:sz="0" w:space="0" w:color="auto"/>
        <w:left w:val="none" w:sz="0" w:space="0" w:color="auto"/>
        <w:bottom w:val="none" w:sz="0" w:space="0" w:color="auto"/>
        <w:right w:val="none" w:sz="0" w:space="0" w:color="auto"/>
      </w:divBdr>
    </w:div>
    <w:div w:id="15592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99FD-D7D0-4C04-97B9-870815C3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Boyle</dc:creator>
  <cp:lastModifiedBy>Patrick Boyle</cp:lastModifiedBy>
  <cp:revision>2</cp:revision>
  <cp:lastPrinted>2022-10-28T11:21:00Z</cp:lastPrinted>
  <dcterms:created xsi:type="dcterms:W3CDTF">2022-10-28T11:26:00Z</dcterms:created>
  <dcterms:modified xsi:type="dcterms:W3CDTF">2022-10-28T11:26:00Z</dcterms:modified>
</cp:coreProperties>
</file>